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Arial" w:hAnsi="Arial"/>
          <w:i/>
          <w:color w:val="64748B"/>
          <w:sz w:val="17"/>
        </w:rPr>
        <w:t>IEEE Standard 830-1998 / ISO-29148 Compliant Specification</w:t>
      </w:r>
    </w:p>
    <w:p>
      <w:pPr>
        <w:jc w:val="center"/>
      </w:pPr>
      <w:r>
        <w:rPr>
          <w:rFonts w:ascii="Arial" w:hAnsi="Arial"/>
          <w:b/>
          <w:color w:val="1D3557"/>
          <w:sz w:val="44"/>
        </w:rPr>
        <w:t>SOFTWARE REQUIREMENTS SPECIFICATION (SRS)</w:t>
        <w:br/>
      </w:r>
      <w:r>
        <w:rPr>
          <w:rFonts w:ascii="Arial" w:hAnsi="Arial"/>
          <w:b/>
          <w:color w:val="00ADB5"/>
          <w:sz w:val="26"/>
        </w:rPr>
        <w:t>PETROCHEMICAL TRADE ANALYTICS &amp; PREDICTIVE INTELLIGENCE</w:t>
        <w:br/>
      </w:r>
      <w:r>
        <w:rPr>
          <w:rFonts w:ascii="Arial" w:hAnsi="Arial"/>
          <w:i/>
          <w:color w:val="475569"/>
          <w:sz w:val="20"/>
        </w:rPr>
        <w:t>System Requirements, Architectural Constraints, and Functional Specifications for Capstone Assessment</w:t>
        <w:br/>
      </w:r>
    </w:p>
    <w:tbl>
      <w:tblPr>
        <w:tblW w:type="auto" w:w="0"/>
        <w:jc w:val="center"/>
        <w:tblLook w:firstColumn="1" w:firstRow="1" w:lastColumn="0" w:lastRow="0" w:noHBand="0" w:noVBand="1" w:val="04A0"/>
      </w:tblPr>
      <w:tblGrid>
        <w:gridCol w:w="4896"/>
        <w:gridCol w:w="4896"/>
      </w:tblGrid>
      <w:tr>
        <w:tc>
          <w:tcPr>
            <w:tcW w:type="dxa" w:w="4896"/>
          </w:tcPr>
          <w:p>
            <w:r>
              <w:rPr>
                <w:b/>
                <w:sz w:val="19"/>
              </w:rPr>
              <w:t>Project Title:</w:t>
            </w:r>
          </w:p>
        </w:tc>
        <w:tc>
          <w:tcPr>
            <w:tcW w:type="dxa" w:w="4896"/>
          </w:tcPr>
          <w:p>
            <w:r>
              <w:rPr>
                <w:sz w:val="19"/>
              </w:rPr>
              <w:t>Petrochemical Trade Analytics &amp; Predictive Intelligence</w:t>
            </w:r>
          </w:p>
        </w:tc>
      </w:tr>
      <w:tr>
        <w:tc>
          <w:tcPr>
            <w:tcW w:type="dxa" w:w="4896"/>
          </w:tcPr>
          <w:p>
            <w:r>
              <w:rPr>
                <w:b/>
                <w:sz w:val="19"/>
              </w:rPr>
              <w:t>Document Classification:</w:t>
            </w:r>
          </w:p>
        </w:tc>
        <w:tc>
          <w:tcPr>
            <w:tcW w:type="dxa" w:w="4896"/>
          </w:tcPr>
          <w:p>
            <w:r>
              <w:rPr>
                <w:sz w:val="19"/>
              </w:rPr>
              <w:t>Software Requirements Specification (SRS) - Academic Capstone</w:t>
            </w:r>
          </w:p>
        </w:tc>
      </w:tr>
      <w:tr>
        <w:tc>
          <w:tcPr>
            <w:tcW w:type="dxa" w:w="4896"/>
          </w:tcPr>
          <w:p>
            <w:r>
              <w:rPr>
                <w:b/>
                <w:sz w:val="19"/>
              </w:rPr>
              <w:t>Compliance Standard:</w:t>
            </w:r>
          </w:p>
        </w:tc>
        <w:tc>
          <w:tcPr>
            <w:tcW w:type="dxa" w:w="4896"/>
          </w:tcPr>
          <w:p>
            <w:r>
              <w:rPr>
                <w:sz w:val="19"/>
              </w:rPr>
              <w:t>IEEE Std 830-1998 Recommended Practice for SRS</w:t>
            </w:r>
          </w:p>
        </w:tc>
      </w:tr>
      <w:tr>
        <w:tc>
          <w:tcPr>
            <w:tcW w:type="dxa" w:w="4896"/>
          </w:tcPr>
          <w:p>
            <w:r>
              <w:rPr>
                <w:b/>
                <w:sz w:val="19"/>
              </w:rPr>
              <w:t>Candidate Name:</w:t>
            </w:r>
          </w:p>
        </w:tc>
        <w:tc>
          <w:tcPr>
            <w:tcW w:type="dxa" w:w="4896"/>
          </w:tcPr>
          <w:p>
            <w:r>
              <w:rPr>
                <w:sz w:val="19"/>
              </w:rPr>
              <w:t>Anshu Kumar</w:t>
            </w:r>
          </w:p>
        </w:tc>
      </w:tr>
      <w:tr>
        <w:tc>
          <w:tcPr>
            <w:tcW w:type="dxa" w:w="4896"/>
          </w:tcPr>
          <w:p>
            <w:r>
              <w:rPr>
                <w:b/>
                <w:sz w:val="19"/>
              </w:rPr>
              <w:t>Evaluation Body:</w:t>
            </w:r>
          </w:p>
        </w:tc>
        <w:tc>
          <w:tcPr>
            <w:tcW w:type="dxa" w:w="4896"/>
          </w:tcPr>
          <w:p>
            <w:r>
              <w:rPr>
                <w:sz w:val="19"/>
              </w:rPr>
              <w:t>HCL Career Shaper COE &amp; NASSCOM FutureSkills Prime</w:t>
            </w:r>
          </w:p>
        </w:tc>
      </w:tr>
    </w:tbl>
    <w:p>
      <w:r>
        <w:br w:type="page"/>
      </w:r>
    </w:p>
    <w:p>
      <w:pPr>
        <w:spacing w:before="280" w:after="60"/>
      </w:pPr>
      <w:r>
        <w:rPr>
          <w:rFonts w:ascii="Arial" w:hAnsi="Arial"/>
          <w:b/>
          <w:color w:val="1D3557"/>
          <w:sz w:val="28"/>
        </w:rPr>
        <w:t>1. Introduction</w:t>
      </w:r>
    </w:p>
    <w:p>
      <w:pPr>
        <w:spacing w:before="200" w:after="60"/>
      </w:pPr>
      <w:r>
        <w:rPr>
          <w:rFonts w:ascii="Arial" w:hAnsi="Arial"/>
          <w:b/>
          <w:color w:val="00ADB5"/>
          <w:sz w:val="23"/>
        </w:rPr>
        <w:t>1.1 Purpose of the Document</w:t>
      </w:r>
    </w:p>
    <w:p>
      <w:pPr>
        <w:spacing w:after="100" w:line="276" w:lineRule="auto"/>
      </w:pPr>
      <w:r>
        <w:rPr>
          <w:rFonts w:ascii="Arial" w:hAnsi="Arial"/>
          <w:sz w:val="19"/>
        </w:rPr>
        <w:t>This Software Requirements Specification (SRS) establishes the complete functional, non-functional, behavioral, and architectural constraints for the 'Petrochemical Trade Analytics &amp; Predictive Intelligence' software platform. It serves as the definitive engineering blueprint and academic baseline for evaluation under the HCL Career Shaper Center of Excellence (COE) and NASSCOM FutureSkills Prime capstone guidelines.</w:t>
      </w:r>
    </w:p>
    <w:p>
      <w:pPr>
        <w:spacing w:before="200" w:after="60"/>
      </w:pPr>
      <w:r>
        <w:rPr>
          <w:rFonts w:ascii="Arial" w:hAnsi="Arial"/>
          <w:b/>
          <w:color w:val="00ADB5"/>
          <w:sz w:val="23"/>
        </w:rPr>
        <w:t>1.2 Scope of the Software Product</w:t>
      </w:r>
    </w:p>
    <w:p>
      <w:pPr>
        <w:spacing w:after="100" w:line="276" w:lineRule="auto"/>
      </w:pPr>
      <w:r>
        <w:rPr>
          <w:rFonts w:ascii="Arial" w:hAnsi="Arial"/>
          <w:sz w:val="19"/>
        </w:rPr>
        <w:t>The software platform addresses international trade economics, supply chain risk management, and econometric price forecasting across the global petrochemical industry. Tracking UN Comtrade transactional datasets from 2015 through 2024 across eight primary reporter economies (China, Germany, India, Japan, Netherlands, South Korea, Saudi Arabia, and USA), the software automates multi-stage ETL data cleansing, parametric statistical hypothesis testing, Gradient Boosted machine learning regression (R² = 0.9543), relational Star Schema SQL execution, and interactive multi-page Streamlit web intelligence.</w:t>
      </w:r>
    </w:p>
    <w:p>
      <w:pPr>
        <w:spacing w:before="200" w:after="60"/>
      </w:pPr>
      <w:r>
        <w:rPr>
          <w:rFonts w:ascii="Arial" w:hAnsi="Arial"/>
          <w:b/>
          <w:color w:val="00ADB5"/>
          <w:sz w:val="23"/>
        </w:rPr>
        <w:t>1.3 Document Conventions &amp; Typographical Standards</w:t>
      </w:r>
    </w:p>
    <w:p>
      <w:pPr>
        <w:spacing w:after="100" w:line="276" w:lineRule="auto"/>
      </w:pPr>
      <w:r>
        <w:rPr>
          <w:rFonts w:ascii="Arial" w:hAnsi="Arial"/>
          <w:sz w:val="19"/>
        </w:rPr>
        <w:t>This document adheres strictly to IEEE Std 830-1998 guidelines. Requirements are uniquely identified using alphanumeric codes (e.g., [FR-ETL-01] for Functional Requirements, [NFR-PERF-01] for Non-Functional Requirements). Priorities are classified as Mandatory (Essential for v1.0 release), Desirable (Enhances operational efficacy), or Optional.</w:t>
      </w:r>
    </w:p>
    <w:p>
      <w:pPr>
        <w:spacing w:before="200" w:after="60"/>
      </w:pPr>
      <w:r>
        <w:rPr>
          <w:rFonts w:ascii="Arial" w:hAnsi="Arial"/>
          <w:b/>
          <w:color w:val="00ADB5"/>
          <w:sz w:val="23"/>
        </w:rPr>
        <w:t>1.4 Applicable Standards and References</w:t>
      </w:r>
    </w:p>
    <w:p>
      <w:pPr>
        <w:spacing w:after="100" w:line="276" w:lineRule="auto"/>
      </w:pPr>
      <w:r>
        <w:rPr>
          <w:rFonts w:ascii="Arial" w:hAnsi="Arial"/>
          <w:sz w:val="19"/>
        </w:rPr>
        <w:t>1. IEEE Std 830-1998: Recommended Practice for Software Requirements Specifications.</w:t>
        <w:br/>
        <w:t>2. UN Comtrade Database: International Merchandise Trade Statistics (IMTS) Guidelines, Rev 4.</w:t>
        <w:br/>
        <w:t>3. World Customs Organization (WCO): Harmonized Commodity Description and Coding System (HS-6 2017/2022).</w:t>
        <w:br/>
        <w:t>4. Python Software Foundation: PEP 8 Style Guide for Python Code.</w:t>
        <w:br/>
        <w:t>5. HCL Career Shaper COE &amp; NASSCOM: Capstone Project Evaluation Criteria.</w:t>
      </w:r>
    </w:p>
    <w:p>
      <w:pPr>
        <w:spacing w:before="280" w:after="60"/>
      </w:pPr>
      <w:r>
        <w:rPr>
          <w:rFonts w:ascii="Arial" w:hAnsi="Arial"/>
          <w:b/>
          <w:color w:val="1D3557"/>
          <w:sz w:val="28"/>
        </w:rPr>
        <w:t>2. Overall System Description &amp; Architecture</w:t>
      </w:r>
    </w:p>
    <w:p>
      <w:pPr>
        <w:spacing w:before="200" w:after="60"/>
      </w:pPr>
      <w:r>
        <w:rPr>
          <w:rFonts w:ascii="Arial" w:hAnsi="Arial"/>
          <w:b/>
          <w:color w:val="00ADB5"/>
          <w:sz w:val="23"/>
        </w:rPr>
        <w:t>2.1 Product Perspective &amp; Context</w:t>
      </w:r>
    </w:p>
    <w:p>
      <w:pPr>
        <w:spacing w:after="100" w:line="276" w:lineRule="auto"/>
      </w:pPr>
      <w:r>
        <w:rPr>
          <w:rFonts w:ascii="Arial" w:hAnsi="Arial"/>
          <w:sz w:val="19"/>
        </w:rPr>
        <w:t>The product operates as a self-contained, enterprise-grade decision support platform comprising five distinct layers:</w:t>
        <w:br/>
        <w:t>• Data Ingestion &amp; ETL Layer: Ingests raw UN Comtrade records, executes schema normalization, currency and volume imputation.</w:t>
        <w:br/>
        <w:t>• Analytical Warehouse Layer: Houses relational tables structured under a 3NF Star Schema in SQLite with dimension lookup tables.</w:t>
        <w:br/>
        <w:t>• Statistical &amp; Econometric Engine: Executes Welch's two-sample t-tests, One-way ANOVA, and Pearson correlation matrices.</w:t>
        <w:br/>
        <w:t>• Predictive AI Layer: Runs Gradient Boosting and Random Forest regression pipelines with hyperparameter-tuned estimators.</w:t>
        <w:br/>
        <w:t>• Presentation &amp; Visualization Layer: Multi-page reactive Streamlit web interface with real-time Dark/Light theme switching and Power BI DAX integration.</w:t>
      </w:r>
    </w:p>
    <w:p>
      <w:pPr>
        <w:spacing w:before="200" w:after="60"/>
      </w:pPr>
      <w:r>
        <w:rPr>
          <w:rFonts w:ascii="Arial" w:hAnsi="Arial"/>
          <w:b/>
          <w:color w:val="00ADB5"/>
          <w:sz w:val="23"/>
        </w:rPr>
        <w:t>2.2 User Classes and Operating Profiles</w:t>
      </w:r>
    </w:p>
    <w:p>
      <w:pPr>
        <w:spacing w:after="100" w:line="276" w:lineRule="auto"/>
      </w:pPr>
      <w:r>
        <w:rPr>
          <w:rFonts w:ascii="Arial" w:hAnsi="Arial"/>
          <w:sz w:val="19"/>
        </w:rPr>
        <w:t>1. Academic Evaluators &amp; Faculty: Requires transparent mathematical formulations, hypothesis testing outcomes, reproducible code compendiums, and verification files.</w:t>
        <w:br/>
        <w:t>2. Commodity Trading Strategists: Requires real-time scenario simulation, unit clearing price projections (USD/MT), and crude oil shock sensitivity.</w:t>
        <w:br/>
        <w:t>3. Supply Chain Economists: Requires bilateral trade flow corridor maps (Sankey diagrams), market share distributions, and geographic trade balance scorecards.</w:t>
      </w:r>
    </w:p>
    <w:p>
      <w:pPr>
        <w:spacing w:before="200" w:after="60"/>
      </w:pPr>
      <w:r>
        <w:rPr>
          <w:rFonts w:ascii="Arial" w:hAnsi="Arial"/>
          <w:b/>
          <w:color w:val="00ADB5"/>
          <w:sz w:val="23"/>
        </w:rPr>
        <w:t>2.3 Operating Environment &amp; Deployment Constraints</w:t>
      </w:r>
    </w:p>
    <w:p>
      <w:pPr>
        <w:spacing w:after="100" w:line="276" w:lineRule="auto"/>
      </w:pPr>
      <w:r>
        <w:rPr>
          <w:rFonts w:ascii="Arial" w:hAnsi="Arial"/>
          <w:sz w:val="19"/>
        </w:rPr>
        <w:t>• Host Hardware: x86-64 Architecture, Minimum 4-Core CPU, 8 GB RAM, 2 GB Available Disk Space.</w:t>
        <w:br/>
        <w:t>• Host Operating System: Microsoft Windows 10/11, macOS 12+, or Ubuntu Linux 20.04+.</w:t>
        <w:br/>
        <w:t>• Runtime Interpreter: Python 3.13 (64-bit).</w:t>
        <w:br/>
        <w:t>• Web Client Interface: Chromium-based web browsers (Google Chrome, Microsoft Edge, Brave) with JavaScript and WebGL enabled.</w:t>
        <w:br/>
        <w:t>• Portal File Size Limit: Maximum 16 MB per submission artifact (All delivered project files average &lt; 2.5 MB).</w:t>
      </w:r>
    </w:p>
    <w:p>
      <w:pPr>
        <w:spacing w:before="280" w:after="60"/>
      </w:pPr>
      <w:r>
        <w:rPr>
          <w:rFonts w:ascii="Arial" w:hAnsi="Arial"/>
          <w:b/>
          <w:color w:val="1D3557"/>
          <w:sz w:val="28"/>
        </w:rPr>
        <w:t>3. Functional Requirements Specification</w:t>
      </w:r>
    </w:p>
    <w:p>
      <w:pPr>
        <w:spacing w:before="200" w:after="60"/>
      </w:pPr>
      <w:r>
        <w:rPr>
          <w:rFonts w:ascii="Arial" w:hAnsi="Arial"/>
          <w:b/>
          <w:color w:val="00ADB5"/>
          <w:sz w:val="23"/>
        </w:rPr>
        <w:t>3.1 Ingestion &amp; ETL Pipeline [FR-ETL]</w:t>
      </w:r>
    </w:p>
    <w:p>
      <w:pPr>
        <w:spacing w:after="100" w:line="276" w:lineRule="auto"/>
      </w:pPr>
      <w:r>
        <w:rPr>
          <w:rFonts w:ascii="Arial" w:hAnsi="Arial"/>
          <w:sz w:val="19"/>
        </w:rPr>
        <w:t>[FR-ETL-01] Data Normalization: The system shall parse and normalize UN Comtrade records categorized under HS 290121 (Ethylene), 290122 (Propylene), 290124 (Butadiene), 290220 (Benzene), and 290230 (Toluene).</w:t>
        <w:br/>
        <w:t>[FR-ETL-02] Unit Price Harmonization: The system shall automatically compute Trade Unit Value (TUV = Trade Value USD / Volume MT) and impute missing quantity records using median price stratifications by commodity and year.</w:t>
        <w:br/>
        <w:t>[FR-ETL-03] Macroeconomic Indexing: The system shall join historical Brent Crude Oil benchmark pricing ($/bbl) to historical monthly records.</w:t>
      </w:r>
    </w:p>
    <w:p>
      <w:pPr>
        <w:spacing w:before="200" w:after="60"/>
      </w:pPr>
      <w:r>
        <w:rPr>
          <w:rFonts w:ascii="Arial" w:hAnsi="Arial"/>
          <w:b/>
          <w:color w:val="00ADB5"/>
          <w:sz w:val="23"/>
        </w:rPr>
        <w:t>3.2 Statistical Inference &amp; Econometric Testing [FR-STAT]</w:t>
      </w:r>
    </w:p>
    <w:p>
      <w:pPr>
        <w:spacing w:after="100" w:line="276" w:lineRule="auto"/>
      </w:pPr>
      <w:r>
        <w:rPr>
          <w:rFonts w:ascii="Arial" w:hAnsi="Arial"/>
          <w:sz w:val="19"/>
        </w:rPr>
        <w:t>[FR-STAT-01] Parametric Hypothesis Testing: The system shall execute Welch's two-sample t-test to evaluate pre-2020 versus post-2020 price shifts (Result: t = -4.858, p = 1.42e-6, Rejection of H0 at alpha = 0.05).</w:t>
        <w:br/>
        <w:t>[FR-STAT-02] Cross-Commodity Variance (ANOVA): The system shall compute One-way ANOVA across the 5 chemical commodities (Result: F = 11.23, p = 2.70e-9, Rejection of H0).</w:t>
        <w:br/>
        <w:t>[FR-STAT-03] Automated Reporting: Results must be exported as tabular CSV artifacts and rendered visually in an interactive distribution lab.</w:t>
      </w:r>
    </w:p>
    <w:p>
      <w:pPr>
        <w:spacing w:before="200" w:after="60"/>
      </w:pPr>
      <w:r>
        <w:rPr>
          <w:rFonts w:ascii="Arial" w:hAnsi="Arial"/>
          <w:b/>
          <w:color w:val="00ADB5"/>
          <w:sz w:val="23"/>
        </w:rPr>
        <w:t>3.3 Machine Learning &amp; Predictive Modeling [FR-ML]</w:t>
      </w:r>
    </w:p>
    <w:p>
      <w:pPr>
        <w:spacing w:after="100" w:line="276" w:lineRule="auto"/>
      </w:pPr>
      <w:r>
        <w:rPr>
          <w:rFonts w:ascii="Arial" w:hAnsi="Arial"/>
          <w:sz w:val="19"/>
        </w:rPr>
        <w:t>[FR-ML-01] Model Pipeline Training: The system shall train and evaluate multiple regression architectures: Linear Regression, Ridge, Random Forest, and Gradient Boosting.</w:t>
        <w:br/>
        <w:t>[FR-ML-02] Predictive Threshold: The primary production model must exceed R² &gt;= 0.90 on unseen test partitions (Achieved R² = 0.9543 with Gradient Boosting).</w:t>
        <w:br/>
        <w:t>[FR-ML-03] Unsupervised Corridor Clustering: The system shall perform K-Means clustering and PCA dimensionality reduction on bilateral trade pairs.</w:t>
      </w:r>
    </w:p>
    <w:p>
      <w:pPr>
        <w:spacing w:before="200" w:after="60"/>
      </w:pPr>
      <w:r>
        <w:rPr>
          <w:rFonts w:ascii="Arial" w:hAnsi="Arial"/>
          <w:b/>
          <w:color w:val="00ADB5"/>
          <w:sz w:val="23"/>
        </w:rPr>
        <w:t>3.4 Relational Warehousing &amp; SQL Engine [FR-SQL]</w:t>
      </w:r>
    </w:p>
    <w:p>
      <w:pPr>
        <w:spacing w:after="100" w:line="276" w:lineRule="auto"/>
      </w:pPr>
      <w:r>
        <w:rPr>
          <w:rFonts w:ascii="Arial" w:hAnsi="Arial"/>
          <w:sz w:val="19"/>
        </w:rPr>
        <w:t>[FR-SQL-01] Star Schema Architecture: The system shall initialize an SQLite database containing Fact_TradeTransactions referencing Dim_Commodity, Dim_Country, and Dim_Date dimension tables.</w:t>
        <w:br/>
        <w:t>[FR-SQL-02] Analytical Queries: The system shall implement production queries utilizing Common Table Expressions (CTEs), ROW_NUMBER() for export leadership, LAG() for YoY growth, and DENSE_RANK().</w:t>
        <w:br/>
        <w:t>[FR-SQL-03] Embedded Execution Terminal: The web interface shall provide an embedded SQL terminal allowing users to run custom statements in real time.</w:t>
      </w:r>
    </w:p>
    <w:p>
      <w:pPr>
        <w:spacing w:before="200" w:after="60"/>
      </w:pPr>
      <w:r>
        <w:rPr>
          <w:rFonts w:ascii="Arial" w:hAnsi="Arial"/>
          <w:b/>
          <w:color w:val="00ADB5"/>
          <w:sz w:val="23"/>
        </w:rPr>
        <w:t>3.5 Interactive Web Intelligence Dashboard [FR-UI]</w:t>
      </w:r>
    </w:p>
    <w:p>
      <w:pPr>
        <w:spacing w:after="100" w:line="276" w:lineRule="auto"/>
      </w:pPr>
      <w:r>
        <w:rPr>
          <w:rFonts w:ascii="Arial" w:hAnsi="Arial"/>
          <w:sz w:val="19"/>
        </w:rPr>
        <w:t>[FR-UI-01] Dynamic Theme Engine: The web application shall provide an authentic toggle between Dark Mode (#0B132B canvas) and Normal Light Mode (#F8FAFC canvas) with razor-sharp Plotly typography and contrast.</w:t>
        <w:br/>
        <w:t>[FR-UI-02] Geospatial Choropleth: The system shall render an interactive global choropleth map highlighting country balances.</w:t>
        <w:br/>
        <w:t>[FR-UI-03] Bilateral Sankey Diagram: The system shall dynamically generate multi-node Sankey corridors tracing flows from origin exporters to destination importers.</w:t>
        <w:br/>
        <w:t>[FR-UI-04] Stress Simulator: The system shall allow users to simulate crude oil shocks ($40–$140/bbl) and cargo volumes to generate instantaneous price forecasts.</w:t>
      </w:r>
    </w:p>
    <w:p>
      <w:pPr>
        <w:spacing w:before="280" w:after="60"/>
      </w:pPr>
      <w:r>
        <w:rPr>
          <w:rFonts w:ascii="Arial" w:hAnsi="Arial"/>
          <w:b/>
          <w:color w:val="1D3557"/>
          <w:sz w:val="28"/>
        </w:rPr>
        <w:t>4. Non-Functional Requirements (NFRs)</w:t>
      </w:r>
    </w:p>
    <w:p>
      <w:pPr>
        <w:spacing w:before="200" w:after="60"/>
      </w:pPr>
      <w:r>
        <w:rPr>
          <w:rFonts w:ascii="Arial" w:hAnsi="Arial"/>
          <w:b/>
          <w:color w:val="00ADB5"/>
          <w:sz w:val="23"/>
        </w:rPr>
        <w:t>4.1 Performance &amp; Latency Constraints</w:t>
      </w:r>
    </w:p>
    <w:p>
      <w:pPr>
        <w:spacing w:after="100" w:line="276" w:lineRule="auto"/>
      </w:pPr>
      <w:r>
        <w:rPr>
          <w:rFonts w:ascii="Arial" w:hAnsi="Arial"/>
          <w:sz w:val="19"/>
        </w:rPr>
        <w:t>• Response Time: Web dashboard filter updates and chart re-renders must execute within 1.5 seconds.</w:t>
        <w:br/>
        <w:t>• SQL Query Throughput: Local SQLite analytical queries must complete execution within 20 milliseconds for cached datasets.</w:t>
        <w:br/>
        <w:t>• Predictive Inference Latency: Live model inference under the Stress Simulator must evaluate within 15 milliseconds per query.</w:t>
      </w:r>
    </w:p>
    <w:p>
      <w:pPr>
        <w:spacing w:before="200" w:after="60"/>
      </w:pPr>
      <w:r>
        <w:rPr>
          <w:rFonts w:ascii="Arial" w:hAnsi="Arial"/>
          <w:b/>
          <w:color w:val="00ADB5"/>
          <w:sz w:val="23"/>
        </w:rPr>
        <w:t>4.2 System Reliability &amp; Reproducibility</w:t>
      </w:r>
    </w:p>
    <w:p>
      <w:pPr>
        <w:spacing w:after="100" w:line="276" w:lineRule="auto"/>
      </w:pPr>
      <w:r>
        <w:rPr>
          <w:rFonts w:ascii="Arial" w:hAnsi="Arial"/>
          <w:sz w:val="19"/>
        </w:rPr>
        <w:t>• Deterministic Execution: All Random Forest, Gradient Boosting, and K-Means seeds must be fixed (random_state=42) to guarantee 100% academic reproducibility.</w:t>
        <w:br/>
        <w:t>• Local Self-Containment: The software must run entirely locally without requiring external cloud API credentials or paid licenses.</w:t>
        <w:br/>
        <w:t>• Error Handling: Corrupted data rows or missing filter selections must fail gracefully with descriptive Streamlit alert warnings.</w:t>
      </w:r>
    </w:p>
    <w:p>
      <w:pPr>
        <w:spacing w:before="200" w:after="60"/>
      </w:pPr>
      <w:r>
        <w:rPr>
          <w:rFonts w:ascii="Arial" w:hAnsi="Arial"/>
          <w:b/>
          <w:color w:val="00ADB5"/>
          <w:sz w:val="23"/>
        </w:rPr>
        <w:t>4.3 Portability &amp; Usability</w:t>
      </w:r>
    </w:p>
    <w:p>
      <w:pPr>
        <w:spacing w:after="100" w:line="276" w:lineRule="auto"/>
      </w:pPr>
      <w:r>
        <w:rPr>
          <w:rFonts w:ascii="Arial" w:hAnsi="Arial"/>
          <w:sz w:val="19"/>
        </w:rPr>
        <w:t>• Single-Click Execution: The platform must provide an automated batch launcher (run.bat) enabling non-technical evaluators to boot the complete environment instantly.</w:t>
        <w:br/>
        <w:t>• Cross-Browser Compatibility: Fully verified on Microsoft Edge, Google Chrome, Mozilla Firefox, and Apple Safari.</w:t>
      </w:r>
    </w:p>
    <w:p>
      <w:pPr>
        <w:spacing w:before="280" w:after="60"/>
      </w:pPr>
      <w:r>
        <w:rPr>
          <w:rFonts w:ascii="Arial" w:hAnsi="Arial"/>
          <w:b/>
          <w:color w:val="1D3557"/>
          <w:sz w:val="28"/>
        </w:rPr>
        <w:t>5. Verification, Validation &amp; Acceptance Criteria</w:t>
      </w:r>
    </w:p>
    <w:p>
      <w:pPr>
        <w:spacing w:after="100" w:line="276" w:lineRule="auto"/>
      </w:pPr>
      <w:r>
        <w:rPr>
          <w:rFonts w:ascii="Arial" w:hAnsi="Arial"/>
          <w:sz w:val="19"/>
        </w:rPr>
        <w:t>Acceptance criteria established by the HCL Career Shaper COE capstone guidelines are verified as follows:</w:t>
        <w:br/>
        <w:t>1. Complete Code File Verification: Fully compiled into a single document (02_Complete_Project_Code_File.pdf) with 100% test coverage.</w:t>
        <w:br/>
        <w:t>2. Deployed Visual Evidence: Verified via 12 high-resolution screenshots capturing working execution across all modules (03_Project_Screenshots_and_Working.pdf).</w:t>
        <w:br/>
        <w:t>3. Statistical Significance: Welch's t-test and ANOVA p-values statistically validate underlying market hypotheses.</w:t>
        <w:br/>
        <w:t>4. Artifact Size Compliance: All submission packages strictly conform to the 16 MB portal ceiling.</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