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annual increase of approximately 2.5% based on national crude mortality rates.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Historical evidence further illustrates the importance of distinguishing mortality measures and age groups.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Describe the actual human review and validation performed on the code and outputs, and confirm the authors’ responsibility for the analytical decisions.]</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Tables 1 and 2;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(Table 2).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The control group aged 7–34 years gave a similar result (+23.5%; p = 0.011);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trend was no longer positive: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Read together with our standardised series, the three analyses describe a growing number of deaths in an ageing population rather than a general increase in age-specific mortality. The statement that asthma mortality</w:t>
      </w:r>
      <w:r>
        <w:t xml:space="preserve"> </w:t>
      </w:r>
      <w:r>
        <w:t xml:space="preserve">“</w:t>
      </w:r>
      <w:r>
        <w:t xml:space="preserve">shows an increasing trend for the first time in the past decades</w:t>
      </w:r>
      <w:r>
        <w:t xml:space="preserve">”</w:t>
      </w:r>
      <w:r>
        <w:t xml:space="preserve"> </w:t>
      </w:r>
      <w:r>
        <w:t xml:space="preserve">[1] therefore holds for the crude rate but is not supported for the age-adjusted rate in this period.</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For this reason we rely on the eight-year standardised trend as the main evidence and use the decomposition to describe where the crude increase comes from.</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they show that any change was small compared with the crude increase.</w:t>
      </w:r>
    </w:p>
    <w:p>
      <w:pPr>
        <w:pStyle w:val="BodyText"/>
      </w:pPr>
      <w:r>
        <w:t xml:space="preserve">The increase at 5–34 years needs a separate reading.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shows the limits of what published estimates allow. Our population denominators differed from those of the original study, so our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This study has further limitations.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In conclusion,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[AUTHOR INPUT REQUIRED. If generative AI was used to draft or edit manuscript text, RRCP requires it to be acknowledged here, naming the tool and how it was used.]</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t xml:space="preserve">[AUTHOR INPUT REQUIRED]</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2025;50(6):e20240296.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p/>
    <w:p>
      <w:pPr>
        <w:pStyle w:val="TableCaption"/>
      </w:pPr>
      <w:r>
        <w:rPr>
          <w:bCs/>
          <w:b/>
        </w:rPr>
        <w:t xml:space="preserve">Table 2.</w:t>
      </w:r>
      <w:r>
        <w:t xml:space="preserve"> </w:t>
      </w:r>
      <w:r>
        <w:t xml:space="preserve">Kitagawa decomposition of the change in the crude rate, completed ages 7 years and older (post hoc analysis). Rates and components per 100,000; population from the IBGE 2018 projection. The two components sum to the change in the crude rate.</w:t>
      </w:r>
      <w:r>
        <w:t xml:space="preserve"> </w:t>
      </w:r>
      <w:r>
        <w:rPr>
          <w:vertAlign w:val="superscript"/>
        </w:rPr>
        <w:t xml:space="preserve">a</w:t>
      </w:r>
      <w:r>
        <w:t xml:space="preserve">Age-composition component as a percentage of the change in the crude rate; it exceeds 100% when the age-specific-rate component is negative, that is, when changes in age-specific rates partly offset the effect of the changing age composition.</w:t>
      </w:r>
    </w:p>
    <w:tbl>
      <w:tblPr>
        <w:tblStyle w:val="Table"/>
        <w:tblW w:type="pct" w:w="5000"/>
        <w:tblLook w:firstRow="1" w:lastRow="0" w:firstColumn="0" w:lastColumn="0" w:noHBand="0" w:noVBand="0" w:val="0020"/>
        <w:jc w:val="start"/>
        <w:tblCaption w:val="Table 2. Kitagawa decomposition of the change in the crude rate, completed ages 7 years and older (post hoc analysis). Rates and components per 100,000; population from the IBGE 2018 projection. The two components sum to the change in the crude rate. aAge-composition component as a percentage of the change in the crude rate; it exceeds 100% when the age-specific-rate component is negative, that is, when changes in age-specific rates partly offset the effect of the changing age composition."/>
      </w:tblPr>
      <w:tblGrid>
        <w:gridCol w:w="1000"/>
        <w:gridCol w:w="1000"/>
        <w:gridCol w:w="833"/>
        <w:gridCol w:w="1250"/>
        <w:gridCol w:w="1333"/>
        <w:gridCol w:w="1250"/>
        <w:gridCol w:w="1250"/>
      </w:tblGrid>
      <w:tr>
        <w:trPr>
          <w:tblHeader w:val="true"/>
        </w:trPr>
        <w:tc>
          <w:tcPr/>
          <w:p>
            <w:pPr>
              <w:pStyle w:val="Compact"/>
              <w:jc w:val="left"/>
            </w:pPr>
            <w:r>
              <w:t xml:space="preserve">Years compared</w:t>
            </w:r>
          </w:p>
        </w:tc>
        <w:tc>
          <w:tcPr/>
          <w:p>
            <w:pPr>
              <w:pStyle w:val="Compact"/>
              <w:jc w:val="right"/>
            </w:pPr>
            <w:r>
              <w:t xml:space="preserve">Crude rate, start / end</w:t>
            </w:r>
          </w:p>
        </w:tc>
        <w:tc>
          <w:tcPr/>
          <w:p>
            <w:pPr>
              <w:pStyle w:val="Compact"/>
              <w:jc w:val="right"/>
            </w:pPr>
            <w:r>
              <w:t xml:space="preserve">Change</w:t>
            </w:r>
          </w:p>
        </w:tc>
        <w:tc>
          <w:tcPr/>
          <w:p>
            <w:pPr>
              <w:pStyle w:val="Compact"/>
              <w:jc w:val="right"/>
            </w:pPr>
            <w:r>
              <w:t xml:space="preserve">Age composition</w:t>
            </w:r>
          </w:p>
        </w:tc>
        <w:tc>
          <w:tcPr/>
          <w:p>
            <w:pPr>
              <w:pStyle w:val="Compact"/>
              <w:jc w:val="right"/>
            </w:pPr>
            <w:r>
              <w:t xml:space="preserve">Age-specific rates</w:t>
            </w:r>
          </w:p>
        </w:tc>
        <w:tc>
          <w:tcPr/>
          <w:p>
            <w:pPr>
              <w:pStyle w:val="Compact"/>
              <w:jc w:val="right"/>
            </w:pPr>
            <w:r>
              <w:t xml:space="preserve">Composition share (%)</w:t>
            </w:r>
            <w:r>
              <w:rPr>
                <w:vertAlign w:val="superscript"/>
              </w:rPr>
              <w:t xml:space="preserve">a</w:t>
            </w:r>
          </w:p>
        </w:tc>
        <w:tc>
          <w:tcPr/>
          <w:p>
            <w:pPr>
              <w:pStyle w:val="Compact"/>
              <w:jc w:val="right"/>
            </w:pPr>
            <w:r>
              <w:t xml:space="preserve">Ages ≥60 in composition (%)</w:t>
            </w:r>
          </w:p>
        </w:tc>
      </w:tr>
      <w:tr>
        <w:tc>
          <w:tcPr/>
          <w:p>
            <w:pPr>
              <w:pStyle w:val="Compact"/>
              <w:jc w:val="left"/>
            </w:pPr>
            <w:r>
              <w:t xml:space="preserve">2014–2021</w:t>
            </w:r>
          </w:p>
        </w:tc>
        <w:tc>
          <w:tcPr/>
          <w:p>
            <w:pPr>
              <w:pStyle w:val="Compact"/>
              <w:jc w:val="right"/>
            </w:pPr>
            <w:r>
              <w:t xml:space="preserve">1.123 / 1.258</w:t>
            </w:r>
          </w:p>
        </w:tc>
        <w:tc>
          <w:tcPr/>
          <w:p>
            <w:pPr>
              <w:pStyle w:val="Compact"/>
              <w:jc w:val="right"/>
            </w:pPr>
            <w:r>
              <w:t xml:space="preserve">+0.135</w:t>
            </w:r>
          </w:p>
        </w:tc>
        <w:tc>
          <w:tcPr/>
          <w:p>
            <w:pPr>
              <w:pStyle w:val="Compact"/>
              <w:jc w:val="right"/>
            </w:pPr>
            <w:r>
              <w:t xml:space="preserve">+0.191</w:t>
            </w:r>
          </w:p>
        </w:tc>
        <w:tc>
          <w:tcPr/>
          <w:p>
            <w:pPr>
              <w:pStyle w:val="Compact"/>
              <w:jc w:val="right"/>
            </w:pPr>
            <w:r>
              <w:t xml:space="preserve">−0.057</w:t>
            </w:r>
          </w:p>
        </w:tc>
        <w:tc>
          <w:tcPr/>
          <w:p>
            <w:pPr>
              <w:pStyle w:val="Compact"/>
              <w:jc w:val="right"/>
            </w:pPr>
            <w:r>
              <w:t xml:space="preserve">142</w:t>
            </w:r>
          </w:p>
        </w:tc>
        <w:tc>
          <w:tcPr/>
          <w:p>
            <w:pPr>
              <w:pStyle w:val="Compact"/>
              <w:jc w:val="right"/>
            </w:pPr>
            <w:r>
              <w:t xml:space="preserve">95</w:t>
            </w:r>
          </w:p>
        </w:tc>
      </w:tr>
      <w:tr>
        <w:tc>
          <w:tcPr/>
          <w:p>
            <w:pPr>
              <w:pStyle w:val="Compact"/>
              <w:jc w:val="left"/>
            </w:pPr>
            <w:r>
              <w:t xml:space="preserve">2014–2019</w:t>
            </w:r>
          </w:p>
        </w:tc>
        <w:tc>
          <w:tcPr/>
          <w:p>
            <w:pPr>
              <w:pStyle w:val="Compact"/>
              <w:jc w:val="right"/>
            </w:pPr>
            <w:r>
              <w:t xml:space="preserve">1.123 / 1.276</w:t>
            </w:r>
          </w:p>
        </w:tc>
        <w:tc>
          <w:tcPr/>
          <w:p>
            <w:pPr>
              <w:pStyle w:val="Compact"/>
              <w:jc w:val="right"/>
            </w:pPr>
            <w:r>
              <w:t xml:space="preserve">+0.154</w:t>
            </w:r>
          </w:p>
        </w:tc>
        <w:tc>
          <w:tcPr/>
          <w:p>
            <w:pPr>
              <w:pStyle w:val="Compact"/>
              <w:jc w:val="right"/>
            </w:pPr>
            <w:r>
              <w:t xml:space="preserve">+0.138</w:t>
            </w:r>
          </w:p>
        </w:tc>
        <w:tc>
          <w:tcPr/>
          <w:p>
            <w:pPr>
              <w:pStyle w:val="Compact"/>
              <w:jc w:val="right"/>
            </w:pPr>
            <w:r>
              <w:t xml:space="preserve">+0.016</w:t>
            </w:r>
          </w:p>
        </w:tc>
        <w:tc>
          <w:tcPr/>
          <w:p>
            <w:pPr>
              <w:pStyle w:val="Compact"/>
              <w:jc w:val="right"/>
            </w:pPr>
            <w:r>
              <w:t xml:space="preserve">90</w:t>
            </w:r>
          </w:p>
        </w:tc>
        <w:tc>
          <w:tcPr/>
          <w:p>
            <w:pPr>
              <w:pStyle w:val="Compact"/>
              <w:jc w:val="right"/>
            </w:pPr>
            <w:r>
              <w:t xml:space="preserve">95</w:t>
            </w:r>
          </w:p>
        </w:tc>
      </w:tr>
      <w:tr>
        <w:tc>
          <w:tcPr/>
          <w:p>
            <w:pPr>
              <w:pStyle w:val="Compact"/>
              <w:jc w:val="left"/>
            </w:pPr>
            <w:r>
              <w:t xml:space="preserve">2014–2020</w:t>
            </w:r>
          </w:p>
        </w:tc>
        <w:tc>
          <w:tcPr/>
          <w:p>
            <w:pPr>
              <w:pStyle w:val="Compact"/>
              <w:jc w:val="right"/>
            </w:pPr>
            <w:r>
              <w:t xml:space="preserve">1.123 / 1.401</w:t>
            </w:r>
          </w:p>
        </w:tc>
        <w:tc>
          <w:tcPr/>
          <w:p>
            <w:pPr>
              <w:pStyle w:val="Compact"/>
              <w:jc w:val="right"/>
            </w:pPr>
            <w:r>
              <w:t xml:space="preserve">+0.278</w:t>
            </w:r>
          </w:p>
        </w:tc>
        <w:tc>
          <w:tcPr/>
          <w:p>
            <w:pPr>
              <w:pStyle w:val="Compact"/>
              <w:jc w:val="right"/>
            </w:pPr>
            <w:r>
              <w:t xml:space="preserve">+0.171</w:t>
            </w:r>
          </w:p>
        </w:tc>
        <w:tc>
          <w:tcPr/>
          <w:p>
            <w:pPr>
              <w:pStyle w:val="Compact"/>
              <w:jc w:val="right"/>
            </w:pPr>
            <w:r>
              <w:t xml:space="preserve">+0.107</w:t>
            </w:r>
          </w:p>
        </w:tc>
        <w:tc>
          <w:tcPr/>
          <w:p>
            <w:pPr>
              <w:pStyle w:val="Compact"/>
              <w:jc w:val="right"/>
            </w:pPr>
            <w:r>
              <w:t xml:space="preserve">62</w:t>
            </w:r>
          </w:p>
        </w:tc>
        <w:tc>
          <w:tcPr/>
          <w:p>
            <w:pPr>
              <w:pStyle w:val="Compact"/>
              <w:jc w:val="right"/>
            </w:pPr>
            <w:r>
              <w:t xml:space="preserve">94</w:t>
            </w:r>
          </w:p>
        </w:tc>
      </w:tr>
      <w:tr>
        <w:tc>
          <w:tcPr/>
          <w:p>
            <w:pPr>
              <w:pStyle w:val="Compact"/>
              <w:jc w:val="left"/>
            </w:pPr>
            <w:r>
              <w:t xml:space="preserve">2015–2021</w:t>
            </w:r>
          </w:p>
        </w:tc>
        <w:tc>
          <w:tcPr/>
          <w:p>
            <w:pPr>
              <w:pStyle w:val="Compact"/>
              <w:jc w:val="right"/>
            </w:pPr>
            <w:r>
              <w:t xml:space="preserve">1.171 / 1.258</w:t>
            </w:r>
          </w:p>
        </w:tc>
        <w:tc>
          <w:tcPr/>
          <w:p>
            <w:pPr>
              <w:pStyle w:val="Compact"/>
              <w:jc w:val="right"/>
            </w:pPr>
            <w:r>
              <w:t xml:space="preserve">+0.087</w:t>
            </w:r>
          </w:p>
        </w:tc>
        <w:tc>
          <w:tcPr/>
          <w:p>
            <w:pPr>
              <w:pStyle w:val="Compact"/>
              <w:jc w:val="right"/>
            </w:pPr>
            <w:r>
              <w:t xml:space="preserve">+0.167</w:t>
            </w:r>
          </w:p>
        </w:tc>
        <w:tc>
          <w:tcPr/>
          <w:p>
            <w:pPr>
              <w:pStyle w:val="Compact"/>
              <w:jc w:val="right"/>
            </w:pPr>
            <w:r>
              <w:t xml:space="preserve">−0.081</w:t>
            </w:r>
          </w:p>
        </w:tc>
        <w:tc>
          <w:tcPr/>
          <w:p>
            <w:pPr>
              <w:pStyle w:val="Compact"/>
              <w:jc w:val="right"/>
            </w:pPr>
            <w:r>
              <w:t xml:space="preserve">193</w:t>
            </w:r>
          </w:p>
        </w:tc>
        <w:tc>
          <w:tcPr/>
          <w:p>
            <w:pPr>
              <w:pStyle w:val="Compact"/>
              <w:jc w:val="right"/>
            </w:pPr>
            <w:r>
              <w:t xml:space="preserve">95</w:t>
            </w:r>
          </w:p>
        </w:tc>
      </w:tr>
      <w:tr>
        <w:tc>
          <w:tcPr/>
          <w:p>
            <w:pPr>
              <w:pStyle w:val="Compact"/>
              <w:jc w:val="left"/>
            </w:pPr>
            <w:r>
              <w:t xml:space="preserve">2016–2021</w:t>
            </w:r>
          </w:p>
        </w:tc>
        <w:tc>
          <w:tcPr/>
          <w:p>
            <w:pPr>
              <w:pStyle w:val="Compact"/>
              <w:jc w:val="right"/>
            </w:pPr>
            <w:r>
              <w:t xml:space="preserve">1.184 / 1.258</w:t>
            </w:r>
          </w:p>
        </w:tc>
        <w:tc>
          <w:tcPr/>
          <w:p>
            <w:pPr>
              <w:pStyle w:val="Compact"/>
              <w:jc w:val="right"/>
            </w:pPr>
            <w:r>
              <w:t xml:space="preserve">+0.073</w:t>
            </w:r>
          </w:p>
        </w:tc>
        <w:tc>
          <w:tcPr/>
          <w:p>
            <w:pPr>
              <w:pStyle w:val="Compact"/>
              <w:jc w:val="right"/>
            </w:pPr>
            <w:r>
              <w:t xml:space="preserve">+0.140</w:t>
            </w:r>
          </w:p>
        </w:tc>
        <w:tc>
          <w:tcPr/>
          <w:p>
            <w:pPr>
              <w:pStyle w:val="Compact"/>
              <w:jc w:val="right"/>
            </w:pPr>
            <w:r>
              <w:t xml:space="preserve">−0.067</w:t>
            </w:r>
          </w:p>
        </w:tc>
        <w:tc>
          <w:tcPr/>
          <w:p>
            <w:pPr>
              <w:pStyle w:val="Compact"/>
              <w:jc w:val="right"/>
            </w:pPr>
            <w:r>
              <w:t xml:space="preserve">191</w:t>
            </w:r>
          </w:p>
        </w:tc>
        <w:tc>
          <w:tcPr/>
          <w:p>
            <w:pPr>
              <w:pStyle w:val="Compact"/>
              <w:jc w:val="right"/>
            </w:pPr>
            <w:r>
              <w:t xml:space="preserve">95</w:t>
            </w:r>
          </w:p>
        </w:tc>
      </w:tr>
      <w:tr>
        <w:tc>
          <w:tcPr/>
          <w:p>
            <w:pPr>
              <w:pStyle w:val="Compact"/>
              <w:jc w:val="left"/>
            </w:pPr>
            <w:r>
              <w:t xml:space="preserve">2014–2018</w:t>
            </w:r>
          </w:p>
        </w:tc>
        <w:tc>
          <w:tcPr/>
          <w:p>
            <w:pPr>
              <w:pStyle w:val="Compact"/>
              <w:jc w:val="right"/>
            </w:pPr>
            <w:r>
              <w:t xml:space="preserve">1.123 / 1.194</w:t>
            </w:r>
          </w:p>
        </w:tc>
        <w:tc>
          <w:tcPr/>
          <w:p>
            <w:pPr>
              <w:pStyle w:val="Compact"/>
              <w:jc w:val="right"/>
            </w:pPr>
            <w:r>
              <w:t xml:space="preserve">+0.071</w:t>
            </w:r>
          </w:p>
        </w:tc>
        <w:tc>
          <w:tcPr/>
          <w:p>
            <w:pPr>
              <w:pStyle w:val="Compact"/>
              <w:jc w:val="right"/>
            </w:pPr>
            <w:r>
              <w:t xml:space="preserve">+0.107</w:t>
            </w:r>
          </w:p>
        </w:tc>
        <w:tc>
          <w:tcPr/>
          <w:p>
            <w:pPr>
              <w:pStyle w:val="Compact"/>
              <w:jc w:val="right"/>
            </w:pPr>
            <w:r>
              <w:t xml:space="preserve">−0.036</w:t>
            </w:r>
          </w:p>
        </w:tc>
        <w:tc>
          <w:tcPr/>
          <w:p>
            <w:pPr>
              <w:pStyle w:val="Compact"/>
              <w:jc w:val="right"/>
            </w:pPr>
            <w:r>
              <w:t xml:space="preserve">151</w:t>
            </w:r>
          </w:p>
        </w:tc>
        <w:tc>
          <w:tcPr/>
          <w:p>
            <w:pPr>
              <w:pStyle w:val="Compact"/>
              <w:jc w:val="right"/>
            </w:pPr>
            <w:r>
              <w:t xml:space="preserve">94</w:t>
            </w:r>
          </w:p>
        </w:tc>
      </w:tr>
    </w:tbl>
    <w:bookmarkEnd w:id="42"/>
    <w:bookmarkStart w:id="43" w:name="figure-legend"/>
    <w:p>
      <w:pPr>
        <w:pStyle w:val="Heading1"/>
      </w:pPr>
      <w:r>
        <w:t xml:space="preserve">Figure legend</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2026-10-10T09:51:00Z</dcterms:created>
  <dcterms:modified xsi:type="dcterms:W3CDTF">2026-10-10T09:51:00Z</dcterms:modified>
</cp:coreProperties>
</file>

<file path=docProps/custom.xml><?xml version="1.0" encoding="utf-8"?>
<Properties xmlns="http://schemas.openxmlformats.org/officeDocument/2006/custom-properties" xmlns:vt="http://schemas.openxmlformats.org/officeDocument/2006/docPropsVTypes"/>
</file>