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Confirmaciones concretas antes de enviar a una revista</w:t>
      </w:r>
    </w:p>
    <w:p>
      <w:r>
        <w:t>La entrega científica y editorial está preparada para revisión de ambos autores. No se ha enviado correo, publicado la rama ni presentado el artículo.</w:t>
      </w:r>
    </w:p>
    <w:p>
      <w:pPr>
        <w:pStyle w:val="ListBullet"/>
      </w:pPr>
      <w:r>
        <w:t>Financiación: ambos autores deben confirmar la declaración del PDF: “No funding was received for this study”, incluyendo recursos o apoyo institucional que deban declararse.</w:t>
      </w:r>
    </w:p>
    <w:p>
      <w:pPr>
        <w:pStyle w:val="ListBullet"/>
      </w:pPr>
      <w:r>
        <w:t>Conflictos: cada autor debe confirmar la declaración de ausencia de conflictos y completar el formulario requerido por la revista finalmente elegida.</w:t>
      </w:r>
    </w:p>
    <w:p>
      <w:pPr>
        <w:pStyle w:val="ListBullet"/>
      </w:pPr>
      <w:r>
        <w:t>Ética: acreditar con orientación institucional/journal la aplicabilidad de la vía correspondiente a esta reutilización de SIM público. No existe en el paquete una exención formal concedida. Si hay documento, incorporar entidad, número y fecha; si no, acordar una formulación exacta aceptada por institución y revista.</w:t>
      </w:r>
    </w:p>
    <w:p>
      <w:pPr>
        <w:pStyle w:val="ListBullet"/>
      </w:pPr>
      <w:r>
        <w:t>Autoría: confirmar orden, afiliaciones, dirección postal del autor de correspondencia, ORCID y contribuciones CRediT reales. Los datos actuales se conservan del PDF enviado; no acreditan nuevas verificaciones.</w:t>
      </w:r>
    </w:p>
    <w:p>
      <w:pPr>
        <w:pStyle w:val="ListBullet"/>
      </w:pPr>
      <w:r>
        <w:t>Revisión humana y herramientas: ambos autores deben revisar métodos, salidas, interpretaciones y el texto preparado con Codex; confirmar la descripción de otras herramientas usadas y la responsabilidad autoral. No se ha afirmado que esa revisión conjunta ya esté completada.</w:t>
      </w:r>
    </w:p>
    <w:p>
      <w:pPr>
        <w:pStyle w:val="Heading1"/>
      </w:pPr>
      <w:r>
        <w:t>Consulta ética documental realizada el 11 de octubre de 2026</w:t>
      </w:r>
    </w:p>
    <w:p>
      <w:r>
        <w:t>Las instrucciones oficiales de JBP exigen declaración de aprobación ética en Methods para estudios humanos/animales y formulario de conflictos de todos los autores: https://www.jornaldepneumologia.com.br/journal/9 y https://www.jornaldepneumologia.com.br/journal/8. Esas instrucciones generales no acreditan una exención para este trabajo concreto.</w:t>
      </w:r>
    </w:p>
    <w:p>
      <w:r>
        <w:t>La guía primaria CNS/Conep sobre uso de datos distingue acceso público, anonimización y dominio público; no equipara automáticamente disponibilidad en Internet con ausencia de obligaciones: https://www.gov.br/conselho-nacional-de-saude/pt-br/acesso-a-informacao/camaras-tecnicas-e-comissoes-backup/conep/cep/educa-ceps/modulo-uso-de-dados-em-pesquisas-cientificas-acesso-compartilhamento-e-protecao . No se utiliza la Resolución 510/2016 como exención universal para una reanálisis epidemiológico.</w:t>
      </w:r>
    </w:p>
    <w:p>
      <w:r>
        <w:t>La orientación institucional UFMS prevé evaluar la necesidad de remisión a comités de ética: https://inisa.ufms.br/comissao-setorial-de-pesquisa/ . La determinación aplicable a los autores y a la revista sigue requiriendo acreditación específica. No se ha contactado con ninguna institución ni editor.</w:t>
      </w:r>
    </w:p>
    <w:p>
      <w:r>
        <w:t>No se ha verificado aquí el supuesto cambio de nombre de la revista a Respiratory Research &amp; Clinical Practice ni sus tasas; no se presenta esa sugerencia del correo como decisión editorial o comprobación vigente. La selección de revista está pendiente de los autores.</w:t>
      </w:r>
    </w:p>
    <w:sectPr w:rsidR="00FC693F" w:rsidRPr="0006063C" w:rsidSect="00034616">
      <w:footerReference w:type="default" r:id="rId9"/>
      <w:pgSz w:w="11906" w:h="16838"/>
      <w:pgMar w:top="1152" w:right="1008" w:bottom="115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Liberation Serif" w:hAnsi="Liberation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Liberation Serif" w:hAnsi="Liberation Serif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Liberation Serif" w:hAnsi="Liberation Serif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Liberation Serif" w:hAnsi="Liberation Serif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Liberation Serif" w:hAnsi="Liberation Serif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erif" w:hAnsi="Liberation Serif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Author_confirmations</dc:title>
  <dc:subject>Prepared revision for author review</dc:subject>
  <dc:creator>Francisco Federico García Crespi; Amaury de Souza</dc:creator>
  <cp:keywords/>
  <dc:description>Generated reproducibly from revision/editorial Markdown and identified CSV outputs.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