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one-sentence statement of the human review actually completed; see AUTHOR_REVIEW_CHECKLIST.md.]</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Generative AI tools were used for language editing of the manuscript text. [AUTHOR INPUT REQUIRED: name the tools and versions, and state whether they were also used to draft text.] [AUTHOR CONFIRMATION REQUIRED: once all authors have reviewed the AI-suggested changes, add a sentence stating that the authors reviewed them and take full responsibility for the content.]</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and Writing – original draft.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 File: fig2_kitagawa_sensitivity.jpg.</w:t>
      </w:r>
    </w:p>
    <w:bookmarkEnd w:id="43"/>
    <w:p>
      <w:r>
        <w:br w:type="page"/>
      </w:r>
    </w:p>
    <w:p>
      <w:r>
        <w:rPr>
          <w:b/>
          <w:sz w:val="28"/>
        </w:rPr>
        <w:t>Figures – author review copy</w:t>
      </w:r>
    </w:p>
    <w:p>
      <w:r>
        <w:t>Figures are embedded here for internal review. The journal submission manuscript and its separately uploaded JPEG figures remain distinct.</w:t>
      </w:r>
    </w:p>
    <w:p>
      <w:r>
        <w:rPr>
          <w:b/>
          <w:sz w:val="22"/>
        </w:rPr>
        <w:t>Figure 1. Age-aligned national trends</w:t>
      </w:r>
    </w:p>
    <w:p>
      <w:r>
        <w:drawing>
          <wp:inline>
            <wp:extent cx="5486400" cy="3762103"/>
            <wp:docPr id="1" name="Picture 1"/>
            <wp:cNvGraphicFramePr>
              <a:graphicFrameLocks noChangeAspect="1"/>
            </wp:cNvGraphicFramePr>
            <a:graphic>
              <a:graphicData uri="http://schemas.openxmlformats.org/drawingml/2006/picture">
                <pic:pic>
                  <pic:nvPicPr>
                    <pic:cNvPr id="0" name="fig1_relative_change_ge7.jpg"/>
                    <pic:cNvPicPr/>
                  </pic:nvPicPr>
                  <pic:blipFill>
                    <a:blip r:embed="rId9"/>
                    <a:stretch>
                      <a:fillRect/>
                    </a:stretch>
                  </pic:blipFill>
                  <pic:spPr>
                    <a:xfrm>
                      <a:off x="0" y="0"/>
                      <a:ext cx="5486400" cy="3762103"/>
                    </a:xfrm>
                    <a:prstGeom prst="rect"/>
                  </pic:spPr>
                </pic:pic>
              </a:graphicData>
            </a:graphic>
          </wp:inline>
        </w:drawing>
      </w:r>
    </w:p>
    <w:p>
      <w:r>
        <w:rPr>
          <w:sz w:val="18"/>
        </w:rPr>
        <w:t>Relative change from 2014 for the crude and age-standardised national rates among completed ages 7 or more, alongside ages 5–34.</w:t>
      </w:r>
    </w:p>
    <w:p>
      <w:r>
        <w:br w:type="page"/>
      </w:r>
    </w:p>
    <w:p>
      <w:r>
        <w:rPr>
          <w:b/>
          <w:sz w:val="22"/>
        </w:rPr>
        <w:t>Figure 2. Kitagawa decomposition and endpoint sensitivity</w:t>
      </w:r>
    </w:p>
    <w:p>
      <w:r>
        <w:drawing>
          <wp:inline>
            <wp:extent cx="5486400" cy="3631842"/>
            <wp:docPr id="2" name="Picture 2"/>
            <wp:cNvGraphicFramePr>
              <a:graphicFrameLocks noChangeAspect="1"/>
            </wp:cNvGraphicFramePr>
            <a:graphic>
              <a:graphicData uri="http://schemas.openxmlformats.org/drawingml/2006/picture">
                <pic:pic>
                  <pic:nvPicPr>
                    <pic:cNvPr id="0" name="fig2_kitagawa_sensitivity.jpg"/>
                    <pic:cNvPicPr/>
                  </pic:nvPicPr>
                  <pic:blipFill>
                    <a:blip r:embed="rId10"/>
                    <a:stretch>
                      <a:fillRect/>
                    </a:stretch>
                  </pic:blipFill>
                  <pic:spPr>
                    <a:xfrm>
                      <a:off x="0" y="0"/>
                      <a:ext cx="5486400" cy="3631842"/>
                    </a:xfrm>
                    <a:prstGeom prst="rect"/>
                  </pic:spPr>
                </pic:pic>
              </a:graphicData>
            </a:graphic>
          </wp:inline>
        </w:drawing>
      </w:r>
    </w:p>
    <w:p>
      <w:r>
        <w:rPr>
          <w:sz w:val="18"/>
        </w:rPr>
        <w:t>Post hoc age composition (black) and age-specific rates (hatched) across six pairs of years; components sum to the observed crude-rate change. Exact values in Supplementary Table S6.</w:t>
      </w:r>
    </w:p>
    <w:p>
      <w:r>
        <w:br w:type="page"/>
      </w:r>
    </w:p>
    <w:p>
      <w:r>
        <w:rPr>
          <w:b/>
          <w:sz w:val="22"/>
        </w:rPr>
        <w:t>Supplementary Figure S1. Mortality at ages 5–34 years</w:t>
      </w:r>
    </w:p>
    <w:p>
      <w:r>
        <w:drawing>
          <wp:inline>
            <wp:extent cx="5486400" cy="5177307"/>
            <wp:docPr id="3" name="Picture 3"/>
            <wp:cNvGraphicFramePr>
              <a:graphicFrameLocks noChangeAspect="1"/>
            </wp:cNvGraphicFramePr>
            <a:graphic>
              <a:graphicData uri="http://schemas.openxmlformats.org/drawingml/2006/picture">
                <pic:pic>
                  <pic:nvPicPr>
                    <pic:cNvPr id="0" name="figS1_age_5_34_mortality.jpg"/>
                    <pic:cNvPicPr/>
                  </pic:nvPicPr>
                  <pic:blipFill>
                    <a:blip r:embed="rId11"/>
                    <a:stretch>
                      <a:fillRect/>
                    </a:stretch>
                  </pic:blipFill>
                  <pic:spPr>
                    <a:xfrm>
                      <a:off x="0" y="0"/>
                      <a:ext cx="5486400" cy="5177307"/>
                    </a:xfrm>
                    <a:prstGeom prst="rect"/>
                  </pic:spPr>
                </pic:pic>
              </a:graphicData>
            </a:graphic>
          </wp:inline>
        </w:drawing>
      </w:r>
    </w:p>
    <w:p>
      <w:r>
        <w:rPr>
          <w:sz w:val="18"/>
        </w:rPr>
        <w:t>Annual mortality rates for ages 5–34 and the overlapping ages 7–34 control; lower panel: annual deaths at ages 5–34.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2026-10-10T14:30:18Z</dcterms:created>
  <dcterms:modified xsi:type="dcterms:W3CDTF">2026-10-10T14:30:18Z</dcterms:modified>
</cp:coreProperties>
</file>

<file path=docProps/custom.xml><?xml version="1.0" encoding="utf-8"?>
<Properties xmlns="http://schemas.openxmlformats.org/officeDocument/2006/custom-properties" xmlns:vt="http://schemas.openxmlformats.org/officeDocument/2006/docPropsVTypes"/>
</file>