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STROBE reporting checklist</w:t>
      </w:r>
    </w:p>
    <w:p>
      <w:r>
        <w:t>Adapted cross-sectional checklist for an ecological national registry time series. STROBE is a reporting aid, not evidence of design validity or author approval. Locations refer to section headings, which remain stable across Word/PDF pagination.</w:t>
      </w:r>
    </w:p>
    <w:p>
      <w:r>
        <w:t>Source. https://www.strobe-statement.org/checklists/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Reporting topic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Location or applicability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1a–b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Design and balanced abstract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Abstract explicitly identifies ecological design and distinguishes national uncertainty from young-domain findings.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Rationale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Introduction, paragraphs 1–3.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Objectives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Introduction, final paragraph; sensitivity analyses explicitly post hoc.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Methods, Study design and reference reproduction.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Setting and dates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Brazil, 2014–2021; Methods and supplementary provenance.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6a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Eligibility and selection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Methods, Selection and Calendar ages; Supplementary Table S1. Population records rather than recruited participants.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Variables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Underlying-cause J45/J46, age domains, calendar year and mortality rates defined in Methods; denominator and standard weights specified.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Sources and measurement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SIM, IBGE revisions, date algorithm and public dictionary; Methods and supplementary provenance.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Bias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Selection sensitivities, ambiguity of duplicates and denominator revisions; Methods and Discussion limitations.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Study size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All eligible national underlying-cause records within the period; no sampled recruitment or prospective power calculation.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Quantitative variables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Completed calendar age and single-year/90+ bins; nine count-model bands and continuous year covariate in Methods.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12a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Statistical methods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Direct standardisation, rate GLMs/OLS, count families, offsets and intervals; Methods.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12b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Subgroups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5–34, nested 7–34, 35–59 and ≥60; Methods, Results and Supplementary Tables S2, S5, S7, S8. No interaction testing reported.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12c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Missing data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Invalid/missing dates excluded and separately logged; missing count cells assigned zero and positive complete populations required. Table S1.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12d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Sampling strategy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Not applicable to this national registry enumeration; no sampling weights. Standardisation weights are defined separately.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12e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Sensitivities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One-condition selection and period scenarios, both revisions/standards and all count families; Methods and S4–S8.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13a–c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Flow and exclusions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Results, Historical reproduction and corrected selection; Table S1 and preserved selection logs. No individual recruitment or follow-up.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14a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Descriptive characteristics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Age-specific national counts and rates in S2. Analyses pool sexes; no sex-specific associations are claimed.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14b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Missingness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Table S1 reports exclusions for invalid dates/negative ages. Other registry-field missingness is not used as an exclusion criterion.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Outcome data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Annual deaths and aligned denominators in S2 and full-precision CSV outputs.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16a–c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Main results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Table 1, Results and S4–S8 show estimates, intervals and endpoint changes; adjustment/age-band rules described in Methods. Absolute rate change is reported, not individual risk.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Other analyses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Kitagawa six endpoint pairs and prespecified execution scenarios; post hoc status acknowledged; S6–S8.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Key results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Discussion opening and young-domain interpretation match study objectives.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Limitations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Ecological design, short series, certification, record ambiguity, historical hashes, multiple comparisons and theta warnings; Discussion.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Interpretation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Discussion distinguishes trend uncertainty, endpoints and descriptive decomposition; no causal attribution.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Generalisability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National Brazilian registry analysis; ecological results do not establish individual associations or historical reversal.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Funding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8"/>
              </w:rPr>
              <w:t>Title page states no funding was received, as confirmed during revision preparation. No sponsor role is reported.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52" w:right="1008" w:bottom="115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iberation Serif" w:hAnsi="Liberation Serif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Liberation Serif" w:hAnsi="Liberation Serif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Liberation Serif" w:hAnsi="Liberation Serif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Liberation Serif" w:hAnsi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Liberation Serif" w:hAnsi="Liberation Serif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STROBE_checklist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