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All analyses use corrected selection unless labelled historical. Rates and slope units are deaths per 100,000; APC is percent per year. Full-precision CSV results and model warnings are delivered with the code.</w:t>
      </w:r>
    </w:p>
    <w:p>
      <w:pPr>
        <w:pStyle w:val="Heading1"/>
      </w:pPr>
      <w:r>
        <w:t>Table S1. Corrected selection by year</w:t>
      </w:r>
    </w:p>
    <w:tbl>
      <w:tblPr>
        <w:tblW w:type="auto" w:w="0"/>
        <w:tblLayout w:type="fixed"/>
        <w:tblLook w:firstColumn="1" w:firstRow="1" w:lastColumn="0" w:lastRow="0" w:noHBand="0" w:noVBand="1" w:val="04A0"/>
      </w:tblPr>
      <w:tblGrid>
        <w:gridCol w:w="667"/>
        <w:gridCol w:w="1436"/>
        <w:gridCol w:w="1145"/>
        <w:gridCol w:w="838"/>
        <w:gridCol w:w="940"/>
        <w:gridCol w:w="974"/>
        <w:gridCol w:w="1026"/>
        <w:gridCol w:w="1026"/>
        <w:gridCol w:w="906"/>
        <w:gridCol w:w="906"/>
      </w:tblGrid>
      <w:tr>
        <w:trPr>
          <w:tblHeade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Year</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All SIM</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J45/J46</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COVID</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Duplicates</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Invalid dates</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Negative age</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Valid</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5–34</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1227039</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2129</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2127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2035</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182</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2015</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1264175</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2232</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2231</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2142</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189</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2016</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1309774</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2249</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2247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2187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184</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2017</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1312663</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2477</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2476</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2418</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172</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2018</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1316719</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2307</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2303</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2244</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200</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1349801</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2488</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2486</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2419</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218</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2020</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1556824</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2735</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2705</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2677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236</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2021</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1832649</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2488</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2458</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2422</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w:t>
            </w:r>
          </w:p>
        </w:tc>
      </w:tr>
    </w:tbl>
    <w:p>
      <w:pPr>
        <w:spacing w:after="20"/>
      </w:pPr>
    </w:p>
    <w:p>
      <w:r>
        <w:t>COVID = union across five cause lines. Invalid-date and negative-age counts follow COVID and deduplication. Both ambiguous 2018 records are retained. The historical selection, provided separately, removed 56 COVID records, one record under the reduced key and 15 records with invalid dates, leaving 18,583 deaths at continuous age &gt;6.</w:t>
      </w:r>
    </w:p>
    <w:p>
      <w:pPr>
        <w:pStyle w:val="Heading1"/>
      </w:pPr>
      <w:r>
        <w:t>Table S2. Annual Aligned crude ≥7</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2035</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181,252,457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1.122743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2142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182,968,415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1.170694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2187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184,647,932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1.184416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186,273,291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1.298093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2244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187,895,171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1.194283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189,505,848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1.276478</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2677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191,083,309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1.400960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2422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192,673,672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1.257048</w:t>
            </w:r>
          </w:p>
        </w:tc>
      </w:tr>
    </w:tbl>
    <w:p>
      <w:pPr>
        <w:spacing w:after="20"/>
      </w:pPr>
    </w:p>
    <w:p>
      <w:pPr>
        <w:pStyle w:val="Heading1"/>
      </w:pPr>
      <w:r>
        <w:t>Table S2. Annual Brazil 2014 ASR ≥7</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2035</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181,252,457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1.122743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2142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182,968,415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1.144431</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2187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184,647,932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1.132194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186,273,291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1.208506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2244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187,895,171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1.089633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189,505,848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1.140337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2677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191,083,309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1.229760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2422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192,673,672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1.077177</w:t>
            </w:r>
          </w:p>
        </w:tc>
      </w:tr>
    </w:tbl>
    <w:p>
      <w:pPr>
        <w:spacing w:after="20"/>
      </w:pPr>
    </w:p>
    <w:p>
      <w:pPr>
        <w:pStyle w:val="Heading1"/>
      </w:pPr>
      <w:r>
        <w:t>Table S2. Annual Crude 5–34</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100,130,699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0.181762</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99,610,503</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0.189739</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99,048,598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0.185767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98,452,312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0.174704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97,819,731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0.204458</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97,214,347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0.224247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236</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96,671,200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0.244126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96,070,603</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0.217548</w:t>
            </w:r>
          </w:p>
        </w:tc>
      </w:tr>
    </w:tbl>
    <w:p>
      <w:pPr>
        <w:spacing w:after="20"/>
      </w:pPr>
    </w:p>
    <w:p>
      <w:pPr>
        <w:pStyle w:val="Heading1"/>
      </w:pPr>
      <w:r>
        <w:t>Table S2. Annual Brazil 2014 ASR 5–34</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100,130,699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0.181762</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99,610,503</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0.189060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99,048,598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0.184945</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98,452,312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0.174255</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97,819,731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0.203444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97,214,347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0.222528</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236</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96,671,200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0.241039</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96,070,603</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0.214535</w:t>
            </w:r>
          </w:p>
        </w:tc>
      </w:tr>
    </w:tbl>
    <w:p>
      <w:pPr>
        <w:spacing w:after="20"/>
      </w:pPr>
    </w:p>
    <w:p>
      <w:pPr>
        <w:pStyle w:val="Heading1"/>
      </w:pPr>
      <w:r>
        <w:t>Table S2. Annual Crude 7–34</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171</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94,235,685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0.181460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93,780,394</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0.185540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93,255,055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0.191947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92,641,638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0.177026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92,007,559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0.206505</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91,371,402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0.227642</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90,729,128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0.255706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90,129,917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0.223011</w:t>
            </w:r>
          </w:p>
        </w:tc>
      </w:tr>
    </w:tbl>
    <w:p>
      <w:pPr>
        <w:spacing w:after="20"/>
      </w:pPr>
    </w:p>
    <w:p>
      <w:pPr>
        <w:pStyle w:val="Heading1"/>
      </w:pPr>
      <w:r>
        <w:t>Table S2. Annual Crude 35–59</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452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62,893,940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0.718670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485</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64,149,669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0.756044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515</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65,398,428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0.787481</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567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66,640,781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0.850830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504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67,862,310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0.742680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524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69,039,371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0.758987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709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70,157,104</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1.010589</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591</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71,213,520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0.829899</w:t>
            </w:r>
          </w:p>
        </w:tc>
      </w:tr>
    </w:tbl>
    <w:p>
      <w:pPr>
        <w:spacing w:after="20"/>
      </w:pPr>
    </w:p>
    <w:p>
      <w:pPr>
        <w:pStyle w:val="Heading1"/>
      </w:pPr>
      <w:r>
        <w:t>Table S2. Annual Crude ≥60</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1412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24,122,832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5.853376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1483</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25,038,352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5.922914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1493</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25,994,449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5.743534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1687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26,990,872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6.250261</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1550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28,025,302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5.530716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1687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29,095,075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5.798232</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1736</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30,197,077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5.748901</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1630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31,330,235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5.202642</w:t>
            </w:r>
          </w:p>
        </w:tc>
      </w:tr>
    </w:tbl>
    <w:p>
      <w:pPr>
        <w:spacing w:after="20"/>
      </w:pPr>
    </w:p>
    <w:p>
      <w:pPr>
        <w:pStyle w:val="Heading1"/>
      </w:pPr>
      <w:r>
        <w:t>Table S3. Historical age-group reproduction</w:t>
      </w:r>
    </w:p>
    <w:tbl>
      <w:tblPr>
        <w:tblW w:type="auto" w:w="0"/>
        <w:tblLayout w:type="fixed"/>
        <w:tblLook w:firstColumn="1" w:firstRow="1" w:lastColumn="0" w:lastRow="0" w:noHBand="0" w:noVBand="1" w:val="04A0"/>
      </w:tblPr>
      <w:tblGrid>
        <w:gridCol w:w="1681"/>
        <w:gridCol w:w="1754"/>
        <w:gridCol w:w="877"/>
        <w:gridCol w:w="1607"/>
        <w:gridCol w:w="731"/>
        <w:gridCol w:w="1023"/>
        <w:gridCol w:w="1242"/>
        <w:gridCol w:w="950"/>
      </w:tblGrid>
      <w:tr>
        <w:trPr>
          <w:tblHeade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n_2014</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n_2021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rate_2014</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rate_2021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pct_change_2014_2021</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p_value</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legacy_lt18</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43</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37</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0.07649</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0.06945</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-9.19335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-0.00047</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0.85236</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legacy_18_59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580</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756</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0.47786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0.58735</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22.91210</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0.02125</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0.04388</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legacy_gte60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1412</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1630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5.85338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5.20264</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-11.11724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-0.07124</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0.13500</w:t>
            </w:r>
          </w:p>
        </w:tc>
      </w:tr>
    </w:tbl>
    <w:p>
      <w:pPr>
        <w:spacing w:after="20"/>
      </w:pPr>
    </w:p>
    <w:p>
      <w:r>
        <w:t>Historical &lt;18 numerator is floor ages 7–17 and denominator ages 0–17. These rows reproduce the historical construction and are not corrected primary domains.</w:t>
      </w:r>
    </w:p>
    <w:p>
      <w:pPr>
        <w:pStyle w:val="Heading1"/>
      </w:pPr>
      <w:r>
        <w:t>Table S4. Count models, IBGE 2018</w:t>
      </w:r>
    </w:p>
    <w:tbl>
      <w:tblPr>
        <w:tblW w:type="auto" w:w="0"/>
        <w:tblLayout w:type="fixed"/>
        <w:tblLook w:firstColumn="1" w:firstRow="1" w:lastColumn="0" w:lastRow="0" w:noHBand="0" w:noVBand="1" w:val="04A0"/>
      </w:tblPr>
      <w:tblGrid>
        <w:gridCol w:w="1681"/>
        <w:gridCol w:w="1754"/>
        <w:gridCol w:w="877"/>
        <w:gridCol w:w="1607"/>
        <w:gridCol w:w="731"/>
        <w:gridCol w:w="1023"/>
        <w:gridCol w:w="1242"/>
        <w:gridCol w:w="950"/>
      </w:tblGrid>
      <w:tr>
        <w:trPr>
          <w:tblHeade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Dispersion</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Theta</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2.190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1.549, 2.835</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6.04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2.190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0.236, 4.183</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6.04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2.221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0.886, 3.574</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1.33</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686.8</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1.787, 6.258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1.130, 6.949</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1.787, 6.258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3280138.3</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2.327, 6.931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1.561, 7.738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2.327, 6.931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2427388.1</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2.779</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1.448, 4.126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2.779</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-1.082, 6.789</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0.130</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2.783</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0.181, 5.453</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0.036</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187.9</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-2.047, -0.546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-3.049, 0.482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0.124</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-2.480, -0.046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0.042</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972.6</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-0.626, 0.632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0.998</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3.11</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-1.125, 1.140</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0.999</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3.11</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0.926</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-0.197, 2.061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0.106</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147.8</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bl>
    <w:p>
      <w:pPr>
        <w:spacing w:after="20"/>
      </w:pPr>
    </w:p>
    <w:p>
      <w:r>
        <w:t>Rows marked as warnings reached the theta iteration limit; convergence of mean-model IRLS does not prove convergence of theta. Retain these estimates with caution. The recorded warning was “iteration limit reached”. All errors, warnings, iterations, coefficients and fitted objects are retained in CSV/RDS. Quasi-Poisson uses t intervals with residual degrees of freedom; Poisson and negative binomial use normal Wald intervals.</w:t>
      </w:r>
    </w:p>
    <w:p>
      <w:pPr>
        <w:pStyle w:val="Heading1"/>
      </w:pPr>
      <w:r>
        <w:t>Table S4. Count models, IBGE 2024</w:t>
      </w:r>
    </w:p>
    <w:tbl>
      <w:tblPr>
        <w:tblW w:type="auto" w:w="0"/>
        <w:tblLayout w:type="fixed"/>
        <w:tblLook w:firstColumn="1" w:firstRow="1" w:lastColumn="0" w:lastRow="0" w:noHBand="0" w:noVBand="1" w:val="04A0"/>
      </w:tblPr>
      <w:tblGrid>
        <w:gridCol w:w="1681"/>
        <w:gridCol w:w="1754"/>
        <w:gridCol w:w="877"/>
        <w:gridCol w:w="1607"/>
        <w:gridCol w:w="731"/>
        <w:gridCol w:w="1023"/>
        <w:gridCol w:w="1242"/>
        <w:gridCol w:w="950"/>
      </w:tblGrid>
      <w:tr>
        <w:trPr>
          <w:tblHeade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Dispersion</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Theta</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2.312</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1.670, 2.958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5.98</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2.312</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0.366, 4.297</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5.98</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2.342</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1.012, 3.690</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1.33</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695.6</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1.964, 6.441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1.303, 7.135</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1.964, 6.441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3258238.9</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2.511, 7.122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1.16</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1.742, 7.931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1.16</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2.511, 7.122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1.16</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2402052.5</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2.843</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1.511, 4.192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5.52</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2.843</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-1.013, 6.849</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0.123</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5.52</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2.844</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0.246, 5.510</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0.032</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189.0</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-1.210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-1.959, -0.455</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0.002</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-1.210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-2.907, 0.517</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0.136</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-1.186</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-2.359, 0.001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0.050</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1080.7</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0.290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-0.340, 0.924</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0.368</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3.02</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0.290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-0.823, 1.415</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0.606</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3.02</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1.137</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0.031, 2.256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0.044</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1.31</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156.0</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bl>
    <w:p>
      <w:pPr>
        <w:spacing w:after="20"/>
      </w:pPr>
    </w:p>
    <w:p>
      <w:r>
        <w:t>Rows marked as warnings reached the theta iteration limit; convergence of mean-model IRLS does not prove convergence of theta. Retain these estimates with caution. The recorded warning was “iteration limit reached”. All errors, warnings, iterations, coefficients and fitted objects are retained in CSV/RDS. Quasi-Poisson uses t intervals with residual degrees of freedom; Poisson and negative binomial use normal Wald intervals.</w:t>
      </w:r>
    </w:p>
    <w:p>
      <w:pPr>
        <w:pStyle w:val="Heading1"/>
      </w:pPr>
      <w:r>
        <w:t>Table S5. Standards and domains, IBGE 2018</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rate</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0.71867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0.82485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+0.10618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+14.77</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0.02134 (-0.00957, 0.05225)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0.142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0.21453</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+0.03277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0.00751 (0.00181, 0.01322)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0.21955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+0.03809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0.00875 (0.00260, 0.01490)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≥60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5.85338</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5.08539</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-0.76799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-13.12</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-0.08864 (-0.18714, 0.00986)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0.070</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1.07718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-0.04557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0.00016 (-0.02139, 0.02170)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0.71921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0.82668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+0.10747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+14.94</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0.02162 (-0.00936, 0.05260)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0.17788</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0.20702</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+0.02914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+16.38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0.00678 (0.00140, 0.01216)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0.17730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0.21246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+0.03516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+19.83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(0.00235, 0.01403)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≥60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5.55943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4.81550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-0.74393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-13.38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-0.08637 (-0.17725, 0.00451)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1.09451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1.04795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-0.04656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-4.25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-0.00015 (-0.02077, 0.02047)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bl>
    <w:p>
      <w:pPr>
        <w:spacing w:after="20"/>
      </w:pPr>
    </w:p>
    <w:p>
      <w:pPr>
        <w:pStyle w:val="Heading1"/>
      </w:pPr>
      <w:r>
        <w:t>Table S5. Standards and domains, IBGE 2024</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rate</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0.72112</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0.83140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+0.11028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0.02192 (-0.00907, 0.05291)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0.21972</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+0.03691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(0.00232, 0.01406)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0.22505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+0.04247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0.00947 (0.00313, 0.01581)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≥60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5.88365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5.30051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-0.58314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-9.91</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-0.06471 (-0.16221, 0.03278)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0.155</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1.11123</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-0.01722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0.00393 (-0.01762, 0.02547)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0.671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0.72095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0.83282</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+0.11187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+15.52</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0.02223 (-0.00879, 0.05326)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0.130</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0.17884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0.21201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+0.03317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0.00744 (0.00193, 0.01294)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0.17835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0.21778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+0.03943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+22.11</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0.00889 (0.00290, 0.01487)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≥60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5.60811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5.01048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-0.59763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-10.66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-0.06712 (-0.15761, 0.02337)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0.119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1.10228</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1.07940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-0.02288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0.00305 (-0.01761, 0.02370)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0.731</w:t>
            </w:r>
          </w:p>
        </w:tc>
      </w:tr>
    </w:tbl>
    <w:p>
      <w:pPr>
        <w:spacing w:after="20"/>
      </w:pPr>
    </w:p>
    <w:p>
      <w:pPr>
        <w:pStyle w:val="Heading1"/>
      </w:pPr>
      <w:r>
        <w:t>Table S6. Kitagawa, IBGE 2018</w:t>
      </w:r>
    </w:p>
    <w:tbl>
      <w:tblPr>
        <w:tblW w:type="auto" w:w="0"/>
        <w:tblLayout w:type="fixed"/>
        <w:tblLook w:firstColumn="1" w:firstRow="1" w:lastColumn="0" w:lastRow="0" w:noHBand="0" w:noVBand="1" w:val="04A0"/>
      </w:tblPr>
      <w:tblGrid>
        <w:gridCol w:w="1432"/>
        <w:gridCol w:w="1273"/>
        <w:gridCol w:w="1273"/>
        <w:gridCol w:w="1273"/>
        <w:gridCol w:w="1591"/>
        <w:gridCol w:w="1591"/>
        <w:gridCol w:w="1432"/>
      </w:tblGrid>
      <w:tr>
        <w:trPr>
          <w:tblHeade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Endpoints</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Crude start</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Crude end</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Net Δ</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Composition</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Rate term</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Composition %</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1.257048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+0.134304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+0.191434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-0.057129</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142.54</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1.276478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+0.153734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+0.138122</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+0.015612</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89.84</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2014–2020</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1.400960</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+0.278216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+0.171157</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+0.107059</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61.52</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2015–2021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1.170694</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1.257048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+0.086354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+0.167391</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-0.081037</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193.84</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2016–2021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1.184416</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1.257048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+0.072632</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+0.139935</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-0.067304</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192.66</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1.194283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+0.071540</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+0.107366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-0.035827</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150.08</w:t>
            </w:r>
          </w:p>
        </w:tc>
      </w:tr>
    </w:tbl>
    <w:p>
      <w:pPr>
        <w:spacing w:after="20"/>
      </w:pPr>
    </w:p>
    <w:p>
      <w:r>
        <w:t>Each term is independently rounded. The unrounded identity is tested to 1e−12; rounded terms may differ in their last displayed digit. A share over 100% reflects a negative rate term, not a probability.</w:t>
      </w:r>
    </w:p>
    <w:p>
      <w:pPr>
        <w:pStyle w:val="Heading1"/>
      </w:pPr>
      <w:r>
        <w:t>Table S6. Kitagawa, IBGE 2024</w:t>
      </w:r>
    </w:p>
    <w:tbl>
      <w:tblPr>
        <w:tblW w:type="auto" w:w="0"/>
        <w:tblLayout w:type="fixed"/>
        <w:tblLook w:firstColumn="1" w:firstRow="1" w:lastColumn="0" w:lastRow="0" w:noHBand="0" w:noVBand="1" w:val="04A0"/>
      </w:tblPr>
      <w:tblGrid>
        <w:gridCol w:w="1432"/>
        <w:gridCol w:w="1273"/>
        <w:gridCol w:w="1273"/>
        <w:gridCol w:w="1273"/>
        <w:gridCol w:w="1591"/>
        <w:gridCol w:w="1591"/>
        <w:gridCol w:w="1432"/>
      </w:tblGrid>
      <w:tr>
        <w:trPr>
          <w:tblHeade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Endpoints</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Crude start</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Crude end</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Net Δ</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Composition</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Rate term</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Composition %</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1.274118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+0.145675</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+0.170443</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-0.024768</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117.00</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1.290082</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+0.161639</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+0.130868</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+0.030771</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80.96</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2014–2020</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1.417122</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+0.288679</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+0.158796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+0.129883</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55.01</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2015–2021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1.177572</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1.274118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+0.096546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+0.148180</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-0.051634</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153.48</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2016–2021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1.192574</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1.274118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+0.081544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+0.121796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-0.040252</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149.36</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1.205894</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+0.077451</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+0.101345</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-0.023893</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130.85</w:t>
            </w:r>
          </w:p>
        </w:tc>
      </w:tr>
    </w:tbl>
    <w:p>
      <w:pPr>
        <w:spacing w:after="20"/>
      </w:pPr>
    </w:p>
    <w:p>
      <w:r>
        <w:t>Each term is independently rounded. The unrounded identity is tested to 1e−12; rounded terms may differ in their last displayed digit. A share over 100% reflects a negative rate term, not a probability.</w:t>
      </w:r>
    </w:p>
    <w:p>
      <w:pPr>
        <w:pStyle w:val="Heading1"/>
      </w:pPr>
      <w:r>
        <w:t>Table S7. Pandemic-period influence, age_5_34, IBGE 2018</w:t>
      </w:r>
    </w:p>
    <w:tbl>
      <w:tblPr>
        <w:tblW w:type="auto" w:w="0"/>
        <w:tblLayout w:type="fixed"/>
        <w:tblLook w:firstColumn="1" w:firstRow="1" w:lastColumn="0" w:lastRow="0" w:noHBand="0" w:noVBand="1" w:val="04A0"/>
      </w:tblPr>
      <w:tblGrid>
        <w:gridCol w:w="1824"/>
        <w:gridCol w:w="2569"/>
        <w:gridCol w:w="825"/>
        <w:gridCol w:w="1015"/>
        <w:gridCol w:w="2775"/>
        <w:gridCol w:w="856"/>
      </w:tblGrid>
      <w:tr>
        <w:trPr>
          <w:tblHeade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Scenario</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Series</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Years</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Δ %</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Slope (95% CI)</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+18.03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0.00751 (0.00181, 0.01322)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0.018</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+19.69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0.00795 (0.00212, 0.01377)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0.016</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+16.38</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0.00678 (0.00140, 0.01216)</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0.022</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+18.03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0.00581 (0.00040, 0.01122)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0.040</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+19.69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0.00619 (0.00070, 0.01167)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0.034</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+16.38</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0.00536 (-0.00017, 0.01089)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0.055</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+22.43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0.00675 (-0.00228, 0.01578)</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0.107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+23.37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0.00701 (-0.00219, 0.01622)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0.102</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+22.80</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0.00660 (-0.00250, 0.01570)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0.114</w:t>
            </w:r>
          </w:p>
        </w:tc>
      </w:tr>
    </w:tbl>
    <w:p>
      <w:pPr>
        <w:spacing w:after="20"/>
      </w:pPr>
    </w:p>
    <w:p>
      <w:r>
        <w:t>Without 2020 uses 2014–2019 and 2021 as calendar years (seven observations, 5 residual df); prepandemic uses 2014–2019 (six observations, 4 residual df). Endpoint contrasts are distinct from annual slopes. Count-model sensitivities for the same domains are supplied below.</w:t>
      </w:r>
    </w:p>
    <w:p>
      <w:pPr>
        <w:pStyle w:val="Heading1"/>
      </w:pPr>
      <w:r>
        <w:t>Table S7 continued. Count models, age_5_34, IBGE 2018</w:t>
      </w:r>
    </w:p>
    <w:tbl>
      <w:tblPr>
        <w:tblW w:type="auto" w:w="0"/>
        <w:tblLayout w:type="fixed"/>
        <w:tblLook w:firstColumn="1" w:firstRow="1" w:lastColumn="0" w:lastRow="0" w:noHBand="0" w:noVBand="1" w:val="04A0"/>
      </w:tblPr>
      <w:tblGrid>
        <w:gridCol w:w="2005"/>
        <w:gridCol w:w="1844"/>
        <w:gridCol w:w="1043"/>
        <w:gridCol w:w="2005"/>
        <w:gridCol w:w="962"/>
        <w:gridCol w:w="802"/>
        <w:gridCol w:w="1203"/>
      </w:tblGrid>
      <w:tr>
        <w:trPr>
          <w:tblHeade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df</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1.787, 6.258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1.130, 6.949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1.787, 6.258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3.159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0.743, 5.633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3.159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0.382, 6.012</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3.159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0.743, 5.633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3.673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0.212, 7.253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3.673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-0.992, 8.558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0.095</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3.673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0.212, 7.253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bl>
    <w:p>
      <w:pPr>
        <w:spacing w:after="20"/>
      </w:pPr>
    </w:p>
    <w:p>
      <w:pPr>
        <w:pStyle w:val="Heading1"/>
      </w:pPr>
      <w:r>
        <w:t>Table S7. Pandemic-period influence, age_7_34, IBGE 2018</w:t>
      </w:r>
    </w:p>
    <w:tbl>
      <w:tblPr>
        <w:tblW w:type="auto" w:w="0"/>
        <w:tblLayout w:type="fixed"/>
        <w:tblLook w:firstColumn="1" w:firstRow="1" w:lastColumn="0" w:lastRow="0" w:noHBand="0" w:noVBand="1" w:val="04A0"/>
      </w:tblPr>
      <w:tblGrid>
        <w:gridCol w:w="1824"/>
        <w:gridCol w:w="2569"/>
        <w:gridCol w:w="825"/>
        <w:gridCol w:w="1015"/>
        <w:gridCol w:w="2775"/>
        <w:gridCol w:w="856"/>
      </w:tblGrid>
      <w:tr>
        <w:trPr>
          <w:tblHeade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Scenario</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Series</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Years</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Δ %</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Slope (95% CI)</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+20.99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0.00875 (0.00260, 0.01490)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0.013</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+22.90</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0.00926 (0.00294, 0.01559)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0.012</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+19.83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0.00819 (0.00235, 0.01403)</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0.014</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+20.99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0.00666 (0.00152, 0.01180)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+22.90</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0.00710 (0.00188, 0.01232)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+19.83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0.00633 (0.00108, 0.01158)</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+24.38</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0.00767 (-0.00086, 0.01620)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0.067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+25.45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0.00797 (-0.00076, 0.01670)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0.064</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+25.20</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0.00768 (-0.00087, 0.01622)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0.067</w:t>
            </w:r>
          </w:p>
        </w:tc>
      </w:tr>
    </w:tbl>
    <w:p>
      <w:pPr>
        <w:spacing w:after="20"/>
      </w:pPr>
    </w:p>
    <w:p>
      <w:r>
        <w:t>Without 2020 uses 2014–2019 and 2021 as calendar years (seven observations, 5 residual df); prepandemic uses 2014–2019 (six observations, 4 residual df). Endpoint contrasts are distinct from annual slopes. Count-model sensitivities for the same domains are supplied below.</w:t>
      </w:r>
    </w:p>
    <w:p>
      <w:pPr>
        <w:pStyle w:val="Heading1"/>
      </w:pPr>
      <w:r>
        <w:t>Table S7 continued. Count models, age_7_34, IBGE 2018</w:t>
      </w:r>
    </w:p>
    <w:tbl>
      <w:tblPr>
        <w:tblW w:type="auto" w:w="0"/>
        <w:tblLayout w:type="fixed"/>
        <w:tblLook w:firstColumn="1" w:firstRow="1" w:lastColumn="0" w:lastRow="0" w:noHBand="0" w:noVBand="1" w:val="04A0"/>
      </w:tblPr>
      <w:tblGrid>
        <w:gridCol w:w="2005"/>
        <w:gridCol w:w="1844"/>
        <w:gridCol w:w="1043"/>
        <w:gridCol w:w="2005"/>
        <w:gridCol w:w="962"/>
        <w:gridCol w:w="802"/>
        <w:gridCol w:w="1203"/>
      </w:tblGrid>
      <w:tr>
        <w:trPr>
          <w:tblHeade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df</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2.327, 6.931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1.561, 7.738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2.327, 6.931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3.590</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1.104, 6.138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0.004</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3.590</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0.975, 6.274</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3.590</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1.104, 6.138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0.004</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4.153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0.584, 7.849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4.153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-0.220, 8.718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0.058</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4.153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0.583, 7.849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bl>
    <w:p>
      <w:pPr>
        <w:spacing w:after="20"/>
      </w:pPr>
    </w:p>
    <w:p>
      <w:pPr>
        <w:pStyle w:val="Heading1"/>
      </w:pPr>
      <w:r>
        <w:t>Table S7. Pandemic-period influence, age_5_34, IBGE 2024</w:t>
      </w:r>
    </w:p>
    <w:tbl>
      <w:tblPr>
        <w:tblW w:type="auto" w:w="0"/>
        <w:tblLayout w:type="fixed"/>
        <w:tblLook w:firstColumn="1" w:firstRow="1" w:lastColumn="0" w:lastRow="0" w:noHBand="0" w:noVBand="1" w:val="04A0"/>
      </w:tblPr>
      <w:tblGrid>
        <w:gridCol w:w="1824"/>
        <w:gridCol w:w="2569"/>
        <w:gridCol w:w="825"/>
        <w:gridCol w:w="1015"/>
        <w:gridCol w:w="2775"/>
        <w:gridCol w:w="856"/>
      </w:tblGrid>
      <w:tr>
        <w:trPr>
          <w:tblHeade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Scenario</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Series</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Years</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Δ %</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Slope (95% CI)</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0.00819 (0.00232, 0.01406)</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0.014</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+21.07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0.00841 (0.00249, 0.01433)</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0.013</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+18.55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0.00744 (0.00193, 0.01294)</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0.016</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0.00643 (0.00087, 0.01199)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0.031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+21.07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0.00662 (0.00105, 0.01220)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0.028</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+18.55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0.00596 (0.00036, 0.01155)</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0.041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+24.27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0.00740 (-0.00188, 0.01669)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0.091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+24.69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0.00754 (-0.00180, 0.01687)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0.088</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+24.37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0.00720 (-0.00201, 0.01642)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0.096</w:t>
            </w:r>
          </w:p>
        </w:tc>
      </w:tr>
    </w:tbl>
    <w:p>
      <w:pPr>
        <w:spacing w:after="20"/>
      </w:pPr>
    </w:p>
    <w:p>
      <w:r>
        <w:t>Without 2020 uses 2014–2019 and 2021 as calendar years (seven observations, 5 residual df); prepandemic uses 2014–2019 (six observations, 4 residual df). Endpoint contrasts are distinct from annual slopes. Count-model sensitivities for the same domains are supplied below.</w:t>
      </w:r>
    </w:p>
    <w:p>
      <w:pPr>
        <w:pStyle w:val="Heading1"/>
      </w:pPr>
      <w:r>
        <w:t>Table S7 continued. Count models, age_5_34, IBGE 2024</w:t>
      </w:r>
    </w:p>
    <w:tbl>
      <w:tblPr>
        <w:tblW w:type="auto" w:w="0"/>
        <w:tblLayout w:type="fixed"/>
        <w:tblLook w:firstColumn="1" w:firstRow="1" w:lastColumn="0" w:lastRow="0" w:noHBand="0" w:noVBand="1" w:val="04A0"/>
      </w:tblPr>
      <w:tblGrid>
        <w:gridCol w:w="2005"/>
        <w:gridCol w:w="1844"/>
        <w:gridCol w:w="1043"/>
        <w:gridCol w:w="2005"/>
        <w:gridCol w:w="962"/>
        <w:gridCol w:w="802"/>
        <w:gridCol w:w="1203"/>
      </w:tblGrid>
      <w:tr>
        <w:trPr>
          <w:tblHeade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df</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1.964, 6.441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1.303, 7.135</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1.964, 6.441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0.919, 5.816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0.551, 6.203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0.919, 5.816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3.899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0.431, 7.487</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3.899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-0.768, 8.786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0.082</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3.899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0.431, 7.487</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bl>
    <w:p>
      <w:pPr>
        <w:spacing w:after="20"/>
      </w:pPr>
    </w:p>
    <w:p>
      <w:pPr>
        <w:pStyle w:val="Heading1"/>
      </w:pPr>
      <w:r>
        <w:t>Table S7. Pandemic-period influence, age_7_34, IBGE 2024</w:t>
      </w:r>
    </w:p>
    <w:tbl>
      <w:tblPr>
        <w:tblW w:type="auto" w:w="0"/>
        <w:tblLayout w:type="fixed"/>
        <w:tblLook w:firstColumn="1" w:firstRow="1" w:lastColumn="0" w:lastRow="0" w:noHBand="0" w:noVBand="1" w:val="04A0"/>
      </w:tblPr>
      <w:tblGrid>
        <w:gridCol w:w="1824"/>
        <w:gridCol w:w="2569"/>
        <w:gridCol w:w="825"/>
        <w:gridCol w:w="1015"/>
        <w:gridCol w:w="2775"/>
        <w:gridCol w:w="856"/>
      </w:tblGrid>
      <w:tr>
        <w:trPr>
          <w:tblHeade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Scenario</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Series</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Years</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Δ %</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Slope (95% CI)</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+23.26</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0.00947 (0.00313, 0.01581)</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+24.37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0.00977 (0.00334, 0.01620)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0.010</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+22.11</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0.00889 (0.00290, 0.01487)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+23.26</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0.00732 (0.00202, 0.01262)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0.016</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+24.37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0.00757 (0.00225, 0.01288)</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0.015</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+22.11</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0.00696 (0.00164, 0.01227)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0.020</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+26.32</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0.00837 (-0.00043, 0.01716)</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0.057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+26.85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0.00853 (-0.00033, 0.01739)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0.056</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+26.85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0.00831 (-0.00035, 0.01697)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0.056</w:t>
            </w:r>
          </w:p>
        </w:tc>
      </w:tr>
    </w:tbl>
    <w:p>
      <w:pPr>
        <w:spacing w:after="20"/>
      </w:pPr>
    </w:p>
    <w:p>
      <w:r>
        <w:t>Without 2020 uses 2014–2019 and 2021 as calendar years (seven observations, 5 residual df); prepandemic uses 2014–2019 (six observations, 4 residual df). Endpoint contrasts are distinct from annual slopes. Count-model sensitivities for the same domains are supplied below.</w:t>
      </w:r>
    </w:p>
    <w:p>
      <w:pPr>
        <w:pStyle w:val="Heading1"/>
      </w:pPr>
      <w:r>
        <w:t>Table S7 continued. Count models, age_7_34, IBGE 2024</w:t>
      </w:r>
    </w:p>
    <w:tbl>
      <w:tblPr>
        <w:tblW w:type="auto" w:w="0"/>
        <w:tblLayout w:type="fixed"/>
        <w:tblLook w:firstColumn="1" w:firstRow="1" w:lastColumn="0" w:lastRow="0" w:noHBand="0" w:noVBand="1" w:val="04A0"/>
      </w:tblPr>
      <w:tblGrid>
        <w:gridCol w:w="2005"/>
        <w:gridCol w:w="1844"/>
        <w:gridCol w:w="1043"/>
        <w:gridCol w:w="2005"/>
        <w:gridCol w:w="962"/>
        <w:gridCol w:w="802"/>
        <w:gridCol w:w="1203"/>
      </w:tblGrid>
      <w:tr>
        <w:trPr>
          <w:tblHeade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df</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2.511, 7.122</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1.742, 7.931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2.511, 7.122</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3.778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1.288, 6.329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3.778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1.150, 6.474</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3.778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1.288, 6.329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4.391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0.814, 8.096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4.391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0.018, 8.956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0.049</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4.391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0.814, 8.096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bl>
    <w:p>
      <w:pPr>
        <w:spacing w:after="20"/>
      </w:pPr>
    </w:p>
    <w:p>
      <w:pPr>
        <w:pStyle w:val="Heading1"/>
      </w:pPr>
      <w:r>
        <w:t>Table S8. One-condition sensitivities, ge7, IBGE 2018</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1.07718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0.00016 (-0.02139, 0.02170)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1.07719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0.00016 (-0.02139, 0.02170)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-4.01</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0.00020 (-0.02130, 0.02171)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18601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1.09149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0.00210 (-0.01965, 0.02385)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0.821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1.07718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0.00015 (-0.02142, 0.02172)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0.987</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age_5_34, IBGE 2018</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0.21453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0.00751 (0.00181, 0.01322)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0.21453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0.00751 (0.00181, 0.01322)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0.21553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0.00760 (0.00195, 0.01324)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0.017</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0.21960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+20.82</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0.00800 (0.00246, 0.01353)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0.21453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0.00751 (0.00181, 0.01322)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age_7_34, IBGE 2018</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0.21955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0.00875 (0.00260, 0.01490)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0.21955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0.00875 (0.00260, 0.01490)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0.22060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+21.57</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0.00884 (0.00275, 0.01493)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0.22493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+23.96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0.00926 (0.00331, 0.01522)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0.21955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0.00875 (0.00260, 0.01490)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ge7, IBGE 2024</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1.11123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0.00393 (-0.01762, 0.02547)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0.671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1.11123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0.00393 (-0.01762, 0.02547)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0.671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1.11178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0.00397 (-0.01753, 0.02547)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0.667</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18601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1.12583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0.00590 (-0.01590, 0.02769)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0.532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1.11123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0.00392 (-0.01765, 0.02549)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0.672</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age_5_34, IBGE 2024</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(0.00232, 0.01406)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(0.00232, 0.01406)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0.22073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+20.74</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0.00827 (0.00246, 0.01409)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0.22498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0.00869 (0.00299, 0.01439)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(0.00232, 0.01406)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age_7_34, IBGE 2024</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0.22505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0.00947 (0.00313, 0.01581)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0.22505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0.00947 (0.00313, 0.01581)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0.22612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+23.85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0.00956 (0.00329, 0.01583)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0.23063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+26.32</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0.01000 (0.00387, 0.01614)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0.22505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0.00947 (0.00313, 0.01581)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ageBreakBefore/>
      </w:pPr>
      <w:r>
        <w:t>Supplementary Figure S1</w:t>
      </w:r>
    </w:p>
    <w:p>
      <w:pPr>
        <w:jc w:val="center"/>
      </w:pPr>
      <w:r>
        <w:drawing>
          <wp:inline xmlns:a="http://schemas.openxmlformats.org/drawingml/2006/main" xmlns:pic="http://schemas.openxmlformats.org/drawingml/2006/picture">
            <wp:extent cx="6126480" cy="5236055"/>
            <wp:docPr id="1" name="Picture 1"/>
            <wp:cNvGraphicFramePr>
              <a:graphicFrameLocks noChangeAspect="1"/>
            </wp:cNvGraphicFramePr>
            <a:graphic>
              <a:graphicData uri="http://schemas.openxmlformats.org/drawingml/2006/picture">
                <pic:pic>
                  <pic:nvPicPr>
                    <pic:cNvPr id="0" name="FigureS1.png"/>
                    <pic:cNvPicPr/>
                  </pic:nvPicPr>
                  <pic:blipFill>
                    <a:blip r:embed="rId10"/>
                    <a:stretch>
                      <a:fillRect/>
                    </a:stretch>
                  </pic:blipFill>
                  <pic:spPr>
                    <a:xfrm>
                      <a:off x="0" y="0"/>
                      <a:ext cx="6126480" cy="5236055"/>
                    </a:xfrm>
                    <a:prstGeom prst="rect"/>
                  </pic:spPr>
                </pic:pic>
              </a:graphicData>
            </a:graphic>
          </wp:inline>
        </w:drawing>
      </w:r>
    </w:p>
    <w:p>
      <w:pPr>
        <w:pStyle w:val="Caption"/>
      </w:pPr>
      <w:r>
        <w:t>Figure S1. Annual crude rates for ages 5–34 and 7–34, within-5–34 Brazil-2014-standardised rates, and 5–34 death counts; corrected selection and IBGE 2018.</w:t>
      </w:r>
    </w:p>
    <w:p>
      <w:pPr>
        <w:pStyle w:val="Heading1"/>
        <w:pageBreakBefore/>
      </w:pPr>
      <w:r>
        <w:t>Supplementary methods and provenance</w:t>
      </w:r>
    </w:p>
    <w:p>
      <w:r>
        <w:t>The historical deduplication key combined parsed death date, elapsed-days age, underlying cause and the five cause lines. It collapsed 2018 source rows 971828 and 971831. Inspection of all public fields found differences in occupation and seven administrative fields (NUMEROLOTE, TPPOS, DTCADASTRO, DTRECEBIM, DTRECORIGA, DIFDATA and CONTADOR). The SIM dictionary identifies NUMERODO as the death-declaration number and describes registration and receipt dates as administrative information [6]. NUMERODO is absent from these CSVs. The available fields therefore do not establish whether the rows refer to the same death. We retained both in the primary analysis and assessed their collapse under the historical key as a sensitivity.</w:t>
      </w:r>
    </w:p>
    <w:p>
      <w:r>
        <w:t>Completed age was the difference between death and birth years, reduced by one if death preceded that year's birthday. For births on 29 February, the anniversary in a non-leap year was 1 March. We added a leading zero to seven-digit day-month-year strings and required an eight-digit valid calendar date. Missing or uninterpretable dates and birth after death were excluded and logged separately. We applied no upper-age exclusion and grouped ages ≥90 into the IBGE 90+ interval.</w:t>
      </w:r>
    </w:p>
    <w:p>
      <w:r>
        <w:t>We reconciled the archived 12-page manuscript of 10 October 2026 with a Word copy of concordant content and repository commit 3884c868a07164710a2e358180b3034f9cdcf642. Official SIM archives recovered on 11 October 2026 reproduced the versioned selection counts and year-age aggregates exactly. Historical execution hashes were available for SIM 2020–2021 only, so byte identity with the historical 2014–2019 files could not be established. The accompanying provenance manifest records the reference PDF hash and all verified input hashes.</w:t>
      </w:r>
    </w:p>
    <w:p>
      <w:r>
        <w:t>National single-year populations for both sexes came from the Brazilian Institute of Geography and Statistics (IBGE) 2018 revision [7]; the 2024 revision following the 2022 Census provided a sensitivity [8]. We used the total-population block on sheet BR in the 2018 workbook and SIGLA = BR with SEXO = Ambos in the 2024 workbook. Both provide ages 0–89 and an open 90+ interval. Corrected crude rates matched each numerator to the same population age range. To reproduce the historical construction, we divided continuous-age &gt;6 deaths by the entire population and separately by population ≥7. The latter comparator retains the small mismatch between its historical numerator and denominator.</w:t>
      </w:r>
    </w:p>
    <w:p>
      <w:r>
        <w:t>We used R 4.6.1 [12] for reproduction and revision; the reference reported R 4.3.3. The code records package versions, configurations, input hashes, warnings and independent checks, including numerical differences under the current environment. Public inputs, verified extraction code and separate scenario outputs support reproduction. The repository address is supplied separately to the editors.</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