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1</w:t>
      </w:r>
    </w:p>
    <w:p>
      <w:r>
        <w:t>Historical comparators and corrected primary rates, Brazil, 2014–2021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74"/>
        <w:gridCol w:w="818"/>
        <w:gridCol w:w="818"/>
        <w:gridCol w:w="897"/>
        <w:gridCol w:w="865"/>
        <w:gridCol w:w="2926"/>
        <w:gridCol w:w="865"/>
      </w:tblGrid>
      <w:tr>
        <w:trPr>
          <w:tblHeader/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Series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2014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2021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Δ rate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Δ %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Slope (95% CI)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  <w:shd w:fill="EEEEEE"/>
          </w:tcPr>
          <w:p>
            <w:pPr>
              <w:spacing w:after="20" w:line="240" w:lineRule="auto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Corrected crude ≥7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1.123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1.257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+0.134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+12.0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0.0270 (0.0030, 0.0509)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0.033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Brazil 2014 ASR ≥7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1.123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1.077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-0.046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-4.1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0.0002 (-0.0214, 0.0217)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0.986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Crude 5–34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0.182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0.218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+0.036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+19.7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0.0079 (0.0021, 0.0138)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0.016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Brazil 2014 ASR 5–34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0.182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0.215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+0.033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+18.0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0.0075 (0.0018, 0.0132)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0.018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Crude 7–34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0.181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0.223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+0.042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+22.9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0.0093 (0.0029, 0.0156)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0.012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Crude 35–59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0.830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+0.111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+15.5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0.0221 (-0.0089, 0.0532)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0.132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Historical &gt;6 / all population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1.012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1.138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+0.126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+12.5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0.0250 (0.0036, 0.0463)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0.029</w:t>
            </w:r>
          </w:p>
        </w:tc>
      </w:tr>
      <w:tr>
        <w:trPr>
          <w:cantSplit/>
        </w:trPr>
        <w:tc>
          <w:tcPr>
            <w:tcW w:type="dxa" w:w="2674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Historical &gt;6 / ≥7 population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1.126</w:t>
            </w:r>
          </w:p>
        </w:tc>
        <w:tc>
          <w:tcPr>
            <w:tcW w:type="dxa" w:w="818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1.260</w:t>
            </w:r>
          </w:p>
        </w:tc>
        <w:tc>
          <w:tcPr>
            <w:tcW w:type="dxa" w:w="897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+0.134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+11.9</w:t>
            </w:r>
          </w:p>
        </w:tc>
        <w:tc>
          <w:tcPr>
            <w:tcW w:type="dxa" w:w="2926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0.0268 (0.0031, 0.0505)</w:t>
            </w:r>
          </w:p>
        </w:tc>
        <w:tc>
          <w:tcPr>
            <w:tcW w:type="dxa" w:w="865"/>
            <w:tcMar>
              <w:top w:w="55" w:type="dxa"/>
              <w:bottom w:w="55" w:type="dxa"/>
              <w:left w:w="55" w:type="dxa"/>
              <w:right w:w="55" w:type="dxa"/>
            </w:tcMar>
            <w:tcBorders>
              <w:top w:val="single" w:sz="3" w:color="D6D6D6"/>
              <w:bottom w:val="single" w:sz="3" w:color="D6D6D6"/>
              <w:left w:val="single" w:sz="3" w:color="D6D6D6"/>
              <w:right w:val="single" w:sz="3" w:color="D6D6D6"/>
            </w:tcBorders>
          </w:tcPr>
          <w:p>
            <w:pPr>
              <w:spacing w:after="20" w:line="240" w:lineRule="auto"/>
            </w:pPr>
            <w:r>
              <w:rPr>
                <w:b w:val="0"/>
                <w:sz w:val="16"/>
              </w:rPr>
              <w:t>0.032</w:t>
            </w:r>
          </w:p>
        </w:tc>
      </w:tr>
    </w:tbl>
    <w:p>
      <w:pPr>
        <w:spacing w:after="20"/>
      </w:pPr>
    </w:p>
    <w:p>
      <w:r>
        <w:t>Rates and absolute changes are per 100,000. Slopes are per 100,000 per year with t-based 95% intervals, six residual degrees of freedom. Δ is the endpoint difference; Δ % is the relative endpoint change. Corrected rows use calendar age, U071-inclusive COVID exclusions and retention of both ambiguous 2018 records. Historical rows retain continuous &gt;6 and their original denominators. IBGE 2018 is used throughout this table; primary ASR uses Brazil 2014 weights normalised inside the specified domain.</w:t>
      </w:r>
    </w:p>
    <w:sectPr w:rsidR="00FC693F" w:rsidRPr="0006063C" w:rsidSect="00034616">
      <w:footerReference w:type="default" r:id="rId9"/>
      <w:pgSz w:w="11906" w:h="16838"/>
      <w:pgMar w:top="1152" w:right="1008" w:bottom="115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Liberation Serif" w:hAnsi="Liberation Serif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Liberation Serif" w:hAnsi="Liberation Serif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Liberation Serif" w:hAnsi="Liberation Serif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Liberation Serif" w:hAnsi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Liberation Serif" w:hAnsi="Liberation Serif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Prepared revision for author review</dc:subject>
  <dc:creator/>
  <cp:keywords/>
  <dc:description>Generated reproducibly from revision/editorial Markdown and identified CSV outputs.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