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annual increase of approximately 2.5% based on national crude mortality rates.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Describe the actual human review and validation performed on the code and outputs, and confirm the authors’ responsibility for the analytical decisions.]</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Supplementary Table S6).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trend was no longer positive: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Read together with our standardised series, the three analyses describe a growing number of deaths in an ageing population rather than a general increase in age-specific mortality. The statement that asthma mortality</w:t>
      </w:r>
      <w:r>
        <w:t xml:space="preserve"> </w:t>
      </w:r>
      <w:r>
        <w:t xml:space="preserve">“</w:t>
      </w:r>
      <w:r>
        <w:t xml:space="preserve">shows an increasing trend for the first time in the past decades</w:t>
      </w:r>
      <w:r>
        <w:t xml:space="preserve">”</w:t>
      </w:r>
      <w:r>
        <w:t xml:space="preserve"> </w:t>
      </w:r>
      <w:r>
        <w:t xml:space="preserve">[1] therefore holds for the crude rate but is not supported for the age-adjusted rate in this period.</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they show that any change was small compared with the crude increase.</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t xml:space="preserve">[AUTHOR INPUT REQUIRED]</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2025;50(6):e20240296.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2026-10-10T10:51:10Z</dcterms:created>
  <dcterms:modified xsi:type="dcterms:W3CDTF">2026-10-10T10:51:10Z</dcterms:modified>
</cp:coreProperties>
</file>

<file path=docProps/custom.xml><?xml version="1.0" encoding="utf-8"?>
<Properties xmlns="http://schemas.openxmlformats.org/officeDocument/2006/custom-properties" xmlns:vt="http://schemas.openxmlformats.org/officeDocument/2006/docPropsVTypes"/>
</file>