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2,459</w:t>
            </w:r>
          </w:p>
        </w:tc>
        <w:tc>
          <w:tcPr/>
          <w:p>
            <w:pPr>
              <w:pStyle w:val="Compact"/>
              <w:jc w:val="right"/>
            </w:pPr>
            <w:r>
              <w:t xml:space="preserve">2,459</w:t>
            </w:r>
          </w:p>
        </w:tc>
        <w:tc>
          <w:tcPr/>
          <w:p>
            <w:pPr>
              <w:pStyle w:val="Compact"/>
              <w:jc w:val="right"/>
            </w:pPr>
            <w:r>
              <w:t xml:space="preserve">2,428</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19,048</w:t>
            </w:r>
          </w:p>
        </w:tc>
        <w:tc>
          <w:tcPr/>
          <w:p>
            <w:pPr>
              <w:pStyle w:val="Compact"/>
              <w:jc w:val="right"/>
            </w:pPr>
            <w:r>
              <w:t xml:space="preserve">19,033</w:t>
            </w:r>
          </w:p>
        </w:tc>
        <w:tc>
          <w:tcPr/>
          <w:p>
            <w:pPr>
              <w:pStyle w:val="Compact"/>
              <w:jc w:val="right"/>
            </w:pPr>
            <w:r>
              <w:t xml:space="preserve">18,583</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2,428</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2,423</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210</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202</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1.078</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0.219</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0.224</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756</w:t>
            </w:r>
          </w:p>
        </w:tc>
        <w:tc>
          <w:tcPr/>
          <w:p>
            <w:pPr>
              <w:pStyle w:val="Compact"/>
              <w:jc w:val="right"/>
            </w:pPr>
            <w:r>
              <w:t xml:space="preserve">0.478 / 0.587</w:t>
            </w:r>
          </w:p>
        </w:tc>
        <w:tc>
          <w:tcPr/>
          <w:p>
            <w:pPr>
              <w:pStyle w:val="Compact"/>
              <w:jc w:val="right"/>
            </w:pPr>
            <w:r>
              <w:t xml:space="preserve">+22.9</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0.044</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5.91</w:t>
            </w:r>
          </w:p>
        </w:tc>
        <w:tc>
          <w:tcPr/>
          <w:p>
            <w:pPr>
              <w:pStyle w:val="Compact"/>
              <w:jc w:val="left"/>
            </w:pPr>
            <w:r>
              <w:t xml:space="preserve">+2.25 (0.32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(−1.12 to 1.14)</w:t>
            </w:r>
          </w:p>
        </w:tc>
        <w:tc>
          <w:tcPr/>
          <w:p>
            <w:pPr>
              <w:pStyle w:val="Compact"/>
              <w:jc w:val="left"/>
            </w:pPr>
            <w:r>
              <w:t xml:space="preserve">0.994</w:t>
            </w:r>
          </w:p>
        </w:tc>
        <w:tc>
          <w:tcPr/>
          <w:p>
            <w:pPr>
              <w:pStyle w:val="Compact"/>
              <w:jc w:val="right"/>
            </w:pPr>
            <w:r>
              <w:t xml:space="preserve">0.104</w:t>
            </w:r>
          </w:p>
        </w:tc>
        <w:tc>
          <w:tcPr/>
          <w:p>
            <w:pPr>
              <w:pStyle w:val="Compact"/>
              <w:jc w:val="left"/>
            </w:pPr>
            <w:r>
              <w:t xml:space="preserve">+0.29 (0.602)</w:t>
            </w:r>
          </w:p>
        </w:tc>
      </w:tr>
      <w:tr>
        <w:tc>
          <w:tcPr/>
          <w:p>
            <w:pPr>
              <w:pStyle w:val="Compact"/>
              <w:jc w:val="left"/>
            </w:pPr>
            <w:r>
              <w:t xml:space="preserve">Ages 5–34</w:t>
            </w:r>
          </w:p>
        </w:tc>
        <w:tc>
          <w:tcPr/>
          <w:p>
            <w:pPr>
              <w:pStyle w:val="Compact"/>
              <w:jc w:val="right"/>
            </w:pPr>
            <w:r>
              <w:t xml:space="preserve">1.07</w:t>
            </w:r>
          </w:p>
        </w:tc>
        <w:tc>
          <w:tcPr/>
          <w:p>
            <w:pPr>
              <w:pStyle w:val="Compact"/>
              <w:jc w:val="left"/>
            </w:pPr>
            <w:r>
              <w:t xml:space="preserve">+4.04 (1.20 to 6.96)</w:t>
            </w:r>
          </w:p>
        </w:tc>
        <w:tc>
          <w:tcPr/>
          <w:p>
            <w:pPr>
              <w:pStyle w:val="Compact"/>
              <w:jc w:val="left"/>
            </w:pPr>
            <w:r>
              <w:t xml:space="preserve">0.013</w:t>
            </w:r>
          </w:p>
        </w:tc>
        <w:tc>
          <w:tcPr/>
          <w:p>
            <w:pPr>
              <w:pStyle w:val="Compact"/>
              <w:jc w:val="right"/>
            </w:pPr>
            <w:r>
              <w:t xml:space="preserve">&lt;0.001</w:t>
            </w:r>
          </w:p>
        </w:tc>
        <w:tc>
          <w:tcPr/>
          <w:p>
            <w:pPr>
              <w:pStyle w:val="Compact"/>
              <w:jc w:val="left"/>
            </w:pPr>
            <w:r>
              <w:t xml:space="preserve">+4.22 (0.011)</w:t>
            </w:r>
          </w:p>
        </w:tc>
      </w:tr>
      <w:tr>
        <w:tc>
          <w:tcPr/>
          <w:p>
            <w:pPr>
              <w:pStyle w:val="Compact"/>
              <w:jc w:val="left"/>
            </w:pPr>
            <w:r>
              <w:t xml:space="preserve">Ages 7–34</w:t>
            </w:r>
          </w:p>
        </w:tc>
        <w:tc>
          <w:tcPr/>
          <w:p>
            <w:pPr>
              <w:pStyle w:val="Compact"/>
              <w:jc w:val="right"/>
            </w:pPr>
            <w:r>
              <w:t xml:space="preserve">1.13</w:t>
            </w:r>
          </w:p>
        </w:tc>
        <w:tc>
          <w:tcPr/>
          <w:p>
            <w:pPr>
              <w:pStyle w:val="Compact"/>
              <w:jc w:val="left"/>
            </w:pPr>
            <w:r>
              <w:t xml:space="preserve">+4.65 (1.64 to 7.75)</w:t>
            </w:r>
          </w:p>
        </w:tc>
        <w:tc>
          <w:tcPr/>
          <w:p>
            <w:pPr>
              <w:pStyle w:val="Compact"/>
              <w:jc w:val="left"/>
            </w:pPr>
            <w:r>
              <w:t xml:space="preserve">0.009</w:t>
            </w:r>
          </w:p>
        </w:tc>
        <w:tc>
          <w:tcPr/>
          <w:p>
            <w:pPr>
              <w:pStyle w:val="Compact"/>
              <w:jc w:val="right"/>
            </w:pPr>
            <w:r>
              <w:t xml:space="preserve">&lt;0.001</w:t>
            </w:r>
          </w:p>
        </w:tc>
        <w:tc>
          <w:tcPr/>
          <w:p>
            <w:pPr>
              <w:pStyle w:val="Compact"/>
              <w:jc w:val="left"/>
            </w:pPr>
            <w:r>
              <w:t xml:space="preserve">+4.83 (0.007)</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1.112</w:t>
            </w:r>
          </w:p>
        </w:tc>
        <w:tc>
          <w:tcPr/>
          <w:p>
            <w:pPr>
              <w:pStyle w:val="Compact"/>
              <w:jc w:val="right"/>
            </w:pPr>
            <w:r>
              <w:t xml:space="preserve">−1.5</w:t>
            </w:r>
          </w:p>
        </w:tc>
        <w:tc>
          <w:tcPr/>
          <w:p>
            <w:pPr>
              <w:pStyle w:val="Compact"/>
              <w:jc w:val="right"/>
            </w:pPr>
            <w:r>
              <w:t xml:space="preserve">0.0040</w:t>
            </w:r>
          </w:p>
        </w:tc>
        <w:tc>
          <w:tcPr/>
          <w:p>
            <w:pPr>
              <w:pStyle w:val="Compact"/>
              <w:jc w:val="left"/>
            </w:pPr>
            <w:r>
              <w:t xml:space="preserve">(−0.0176 to 0.0255)</w:t>
            </w:r>
          </w:p>
        </w:tc>
        <w:tc>
          <w:tcPr/>
          <w:p>
            <w:pPr>
              <w:pStyle w:val="Compact"/>
              <w:jc w:val="right"/>
            </w:pPr>
            <w:r>
              <w:t xml:space="preserve">0.668</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1.049</w:t>
            </w:r>
          </w:p>
        </w:tc>
        <w:tc>
          <w:tcPr/>
          <w:p>
            <w:pPr>
              <w:pStyle w:val="Compact"/>
              <w:jc w:val="right"/>
            </w:pPr>
            <w:r>
              <w:t xml:space="preserve">−4.2</w:t>
            </w:r>
          </w:p>
        </w:tc>
        <w:tc>
          <w:tcPr/>
          <w:p>
            <w:pPr>
              <w:pStyle w:val="Compact"/>
              <w:jc w:val="right"/>
            </w:pPr>
            <w:r>
              <w:t xml:space="preserve">−0.0001</w:t>
            </w:r>
          </w:p>
        </w:tc>
        <w:tc>
          <w:tcPr/>
          <w:p>
            <w:pPr>
              <w:pStyle w:val="Compact"/>
              <w:jc w:val="left"/>
            </w:pPr>
            <w:r>
              <w:t xml:space="preserve">(−0.0207 to 0.0205)</w:t>
            </w:r>
          </w:p>
        </w:tc>
        <w:tc>
          <w:tcPr/>
          <w:p>
            <w:pPr>
              <w:pStyle w:val="Compact"/>
              <w:jc w:val="right"/>
            </w:pPr>
            <w:r>
              <w:t xml:space="preserve">0.990</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1.080</w:t>
            </w:r>
          </w:p>
        </w:tc>
        <w:tc>
          <w:tcPr/>
          <w:p>
            <w:pPr>
              <w:pStyle w:val="Compact"/>
              <w:jc w:val="right"/>
            </w:pPr>
            <w:r>
              <w:t xml:space="preserve">−2.0</w:t>
            </w:r>
          </w:p>
        </w:tc>
        <w:tc>
          <w:tcPr/>
          <w:p>
            <w:pPr>
              <w:pStyle w:val="Compact"/>
              <w:jc w:val="right"/>
            </w:pPr>
            <w:r>
              <w:t xml:space="preserve">0.0031</w:t>
            </w:r>
          </w:p>
        </w:tc>
        <w:tc>
          <w:tcPr/>
          <w:p>
            <w:pPr>
              <w:pStyle w:val="Compact"/>
              <w:jc w:val="left"/>
            </w:pPr>
            <w:r>
              <w:t xml:space="preserve">(−0.0176 to 0.0237)</w:t>
            </w:r>
          </w:p>
        </w:tc>
        <w:tc>
          <w:tcPr/>
          <w:p>
            <w:pPr>
              <w:pStyle w:val="Compact"/>
              <w:jc w:val="right"/>
            </w:pPr>
            <w:r>
              <w:t xml:space="preserve">0.727</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0.222</w:t>
            </w:r>
          </w:p>
        </w:tc>
        <w:tc>
          <w:tcPr/>
          <w:p>
            <w:pPr>
              <w:pStyle w:val="Compact"/>
              <w:jc w:val="right"/>
            </w:pPr>
            <w:r>
              <w:t xml:space="preserve">+21.7</w:t>
            </w:r>
          </w:p>
        </w:tc>
        <w:tc>
          <w:tcPr/>
          <w:p>
            <w:pPr>
              <w:pStyle w:val="Compact"/>
              <w:jc w:val="right"/>
            </w:pPr>
            <w:r>
              <w:t xml:space="preserve">0.0085</w:t>
            </w:r>
          </w:p>
        </w:tc>
        <w:tc>
          <w:tcPr/>
          <w:p>
            <w:pPr>
              <w:pStyle w:val="Compact"/>
              <w:jc w:val="left"/>
            </w:pPr>
            <w:r>
              <w:t xml:space="preserve">(0.0026 to 0.0144)</w:t>
            </w:r>
          </w:p>
        </w:tc>
        <w:tc>
          <w:tcPr/>
          <w:p>
            <w:pPr>
              <w:pStyle w:val="Compact"/>
              <w:jc w:val="right"/>
            </w:pPr>
            <w:r>
              <w:t xml:space="preserve">0.012</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0.208</w:t>
            </w:r>
          </w:p>
        </w:tc>
        <w:tc>
          <w:tcPr/>
          <w:p>
            <w:pPr>
              <w:pStyle w:val="Compact"/>
              <w:jc w:val="right"/>
            </w:pPr>
            <w:r>
              <w:t xml:space="preserve">+16.9</w:t>
            </w:r>
          </w:p>
        </w:tc>
        <w:tc>
          <w:tcPr/>
          <w:p>
            <w:pPr>
              <w:pStyle w:val="Compact"/>
              <w:jc w:val="right"/>
            </w:pPr>
            <w:r>
              <w:t xml:space="preserve">0.0069</w:t>
            </w:r>
          </w:p>
        </w:tc>
        <w:tc>
          <w:tcPr/>
          <w:p>
            <w:pPr>
              <w:pStyle w:val="Compact"/>
              <w:jc w:val="left"/>
            </w:pPr>
            <w:r>
              <w:t xml:space="preserve">(0.0015 to 0.0122)</w:t>
            </w:r>
          </w:p>
        </w:tc>
        <w:tc>
          <w:tcPr/>
          <w:p>
            <w:pPr>
              <w:pStyle w:val="Compact"/>
              <w:jc w:val="right"/>
            </w:pPr>
            <w:r>
              <w:t xml:space="preserve">0.020</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0.213</w:t>
            </w:r>
          </w:p>
        </w:tc>
        <w:tc>
          <w:tcPr/>
          <w:p>
            <w:pPr>
              <w:pStyle w:val="Compact"/>
              <w:jc w:val="right"/>
            </w:pPr>
            <w:r>
              <w:t xml:space="preserve">+19.1</w:t>
            </w:r>
          </w:p>
        </w:tc>
        <w:tc>
          <w:tcPr/>
          <w:p>
            <w:pPr>
              <w:pStyle w:val="Compact"/>
              <w:jc w:val="right"/>
            </w:pPr>
            <w:r>
              <w:t xml:space="preserve">0.0075</w:t>
            </w:r>
          </w:p>
        </w:tc>
        <w:tc>
          <w:tcPr/>
          <w:p>
            <w:pPr>
              <w:pStyle w:val="Compact"/>
              <w:jc w:val="left"/>
            </w:pPr>
            <w:r>
              <w:t xml:space="preserve">(0.0021 to 0.0130)</w:t>
            </w:r>
          </w:p>
        </w:tc>
        <w:tc>
          <w:tcPr/>
          <w:p>
            <w:pPr>
              <w:pStyle w:val="Compact"/>
              <w:jc w:val="right"/>
            </w:pPr>
            <w:r>
              <w:t xml:space="preserve">0.015</w:t>
            </w:r>
          </w:p>
        </w:tc>
      </w:tr>
    </w:tbl>
    <w:p/>
    <w:p>
      <w:pPr>
        <w:pStyle w:val="TableCaption"/>
      </w:pPr>
      <w:r>
        <w:rPr>
          <w:bCs/>
          <w:b/>
        </w:rPr>
        <w:t xml:space="preserve">Supplementary Table S6.</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p>
      <w:pPr>
        <w:pStyle w:val="CaptionedFigure"/>
      </w:pPr>
      <w:r>
        <w:drawing>
          <wp:inline>
            <wp:extent cx="5334000" cy="5033492"/>
            <wp:effectExtent b="0" l="0" r="0" t="0"/>
            <wp:docPr descr="Supplementary Figure S1. 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 title="" id="21" name="Picture"/>
            <a:graphic>
              <a:graphicData uri="http://schemas.openxmlformats.org/drawingml/2006/picture">
                <pic:pic>
                  <pic:nvPicPr>
                    <pic:cNvPr descr="figS1_age_5_34_mortality.jpg" id="22" name="Picture"/>
                    <pic:cNvPicPr>
                      <a:picLocks noChangeArrowheads="1" noChangeAspect="1"/>
                    </pic:cNvPicPr>
                  </pic:nvPicPr>
                  <pic:blipFill>
                    <a:blip r:embed="rId20"/>
                    <a:stretch>
                      <a:fillRect/>
                    </a:stretch>
                  </pic:blipFill>
                  <pic:spPr bwMode="auto">
                    <a:xfrm>
                      <a:off x="0" y="0"/>
                      <a:ext cx="5334000" cy="5033492"/>
                    </a:xfrm>
                    <a:prstGeom prst="rect">
                      <a:avLst/>
                    </a:prstGeom>
                    <a:noFill/>
                    <a:ln w="9525">
                      <a:noFill/>
                      <a:headEnd/>
                      <a:tailEnd/>
                    </a:ln>
                  </pic:spPr>
                </pic:pic>
              </a:graphicData>
            </a:graphic>
          </wp:inline>
        </w:drawing>
      </w:r>
    </w:p>
    <w:p>
      <w:pPr>
        <w:pStyle w:val="ImageCaption"/>
      </w:pPr>
      <w:r>
        <w:rPr>
          <w:bCs/>
          <w:b/>
        </w:rPr>
        <w:t xml:space="preserve">Supplementary Figure S1.</w:t>
      </w:r>
      <w:r>
        <w:t xml:space="preserve"> </w:t>
      </w:r>
      <w:r>
        <w:t xml:space="preserve">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2026-10-10T10:51:10Z</dcterms:created>
  <dcterms:modified xsi:type="dcterms:W3CDTF">2026-10-10T10:51:10Z</dcterms:modified>
</cp:coreProperties>
</file>

<file path=docProps/custom.xml><?xml version="1.0" encoding="utf-8"?>
<Properties xmlns="http://schemas.openxmlformats.org/officeDocument/2006/custom-properties" xmlns:vt="http://schemas.openxmlformats.org/officeDocument/2006/docPropsVTypes"/>
</file>