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r>
        <w:t>Francisco Federico García Crespi¹ · Amaury de Souza²</w:t>
      </w:r>
    </w:p>
    <w:p>
      <w:r>
        <w:t>¹ Universidad Miguel Hernández, Elche, Alicante, Spain. ² Institute of Physics, Federal University of Mato Grosso do Sul, Campo Grande, MS, Brazil.</w:t>
      </w:r>
    </w:p>
    <w:p>
      <w:r>
        <w:t>Correspondence. Francisco Federico García Crespi, fedeg@umh.es. Author details and declarations are retained from the reviewed PDF and require confirmation in the accompanying checklist.</w:t>
      </w:r>
    </w:p>
    <w:p>
      <w:pPr>
        <w:pStyle w:val="Heading1"/>
      </w:pPr>
      <w:r>
        <w:t>Abstract</w:t>
      </w:r>
    </w:p>
    <w:p>
      <w:r>
        <w:t>Objective. To assess whether the reported increase in crude asthma mortality in Brazil during 2014–2021 persists after age standardisation among people aged ≥7 years, and to examine mortality within ages 5–34.</w:t>
      </w:r>
    </w:p>
    <w:p>
      <w:r>
        <w:t>Methods. We reproduced the historical analysis and revised record selection using completed calendar age, COVID exclusions including U071, and retention of two 2018 records whose identity could not be established. The primary analysis used IBGE 2018 denominators and Brazil 2014 standard weights, normalised within each age range. Sensitivities examined IBGE 2024, WHO weights, count models, alternative selection rules and pandemic-period restrictions.</w:t>
      </w:r>
    </w:p>
    <w:p>
      <w: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t>Conclusion. Changes in population age composition accounted for much of the crude increase at ages ≥7 in a descriptive decomposition. The primary national age-standardised estimate was compatible with trends in either direction. Standardisation within 5–34 supported an increase over 2014–2021 and after excluding 2020; the shorter prepandemic series remained inconclusive about the annual trend. Surveillance should report crude, age-standardised and age-specific rates together.</w:t>
      </w:r>
    </w:p>
    <w:p>
      <w:r>
        <w:t>Keywords. Asthma; Mortality; Age Distribution; Population Dynamics; Reproducibility of Results; Brazil.</w:t>
      </w:r>
    </w:p>
    <w:p>
      <w:pPr>
        <w:pStyle w:val="Heading1"/>
      </w:pPr>
      <w:r>
        <w:t>Introduction</w:t>
      </w:r>
    </w:p>
    <w:p>
      <w:r>
        <w:t>Brum et al. concluded that "asthma mortality remains high and shows an increasing trend for the first time in the past decades" [1]. Their nationwide analysis for 2014–2021 identified 18,584 asthma deaths and reported an annual increase of approximately 2.5%. Cardoso et al., studying 2013–2023, also concluded that asthma-related deaths had increased [2]. They based this conclusion on annual death counts and reported a stable overall mortality rate per 100,000 inhabitants. These measures describe different aspects of mortality. Neither establishes an increase in the national age-standardised rate.</w:t>
      </w:r>
    </w:p>
    <w:p>
      <w:r>
        <w:t>Earlier Brazilian surveillance offers a longer perspective. Graudenz et al.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t>Population ageing is relevant to this comparison because approximately two thirds of asthma deaths occurred among people aged ≥60 [1,2]. Changes in age composition can raise crude mortality even when age-specific rates do not increase. Neither Brum et al. nor Cardoso et al. directly age-standardised the national series. Brum et al.'s public code [4] provides an opportunity to examine case selection, population denominators and trend estimates before reassessing the mortality pattern.</w:t>
      </w:r>
    </w:p>
    <w:p>
      <w:r>
        <w:t>We examined whether the reported increase in Brazilian asthma mortality during 2014–2021 persisted when population age structure was held fixed. We first reproduced Brum et al.'s analysis and documented agreements and discrepancies with the published results. We then estimated national rates among people aged ≥7 years and rates within ages 5–34, standardising separately within each range. Post hoc sensitivity analyses examined alternative population projections, WHO weights, count models, selection rules and pandemic-period restrictions. These analyses distinguish the observed crude increase from the national and age-specific trends supported by the data.</w:t>
      </w:r>
    </w:p>
    <w:p>
      <w:pPr>
        <w:pStyle w:val="Heading1"/>
      </w:pPr>
      <w:r>
        <w:t>Methods</w:t>
      </w:r>
    </w:p>
    <w:p>
      <w:pPr>
        <w:pStyle w:val="Heading2"/>
      </w:pPr>
      <w:r>
        <w:t>Study design and reference reproduction</w:t>
      </w:r>
    </w:p>
    <w:p>
      <w:r>
        <w:t>This secondary ecological analysis examined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WHO, IBGE 2024, count models, Kitagawa decomposition and alternative selection and periods provided sensitivity or descriptive analyses. We applied no multiple-testing correction.</w:t>
      </w:r>
    </w:p>
    <w:p>
      <w: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pPr>
        <w:pStyle w:val="Heading2"/>
      </w:pPr>
      <w:r>
        <w:t>Selection, COVID mentions and record identity</w:t>
      </w:r>
    </w:p>
    <w:p>
      <w:r>
        <w:t>We selected records whose underlying cause field, CAUSABAS, contained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[12]. NUMERODO is absent from these CSVs. The available fields therefore do not establish whether the rows refer to the same death. We retained both in the primary analysis and assessed their collapse under the historical key as a sensitivity.</w:t>
      </w:r>
    </w:p>
    <w:p>
      <w:pPr>
        <w:pStyle w:val="Heading2"/>
      </w:pPr>
      <w:r>
        <w:t>Calendar ages and analytical domains</w:t>
      </w:r>
    </w:p>
    <w:p>
      <w: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t>Calendar age defined the ≥7, 5–34, 7–34, 35–59 and ≥60 groups. One sensitivity used days/365.25, with its floor defining single-year bins. The historical reproduction retained the continuous &gt;6 threshold as a separate population.</w:t>
      </w:r>
    </w:p>
    <w:p>
      <w:pPr>
        <w:pStyle w:val="Heading2"/>
      </w:pPr>
      <w:r>
        <w:t>Denominators and direct standardisation</w:t>
      </w:r>
    </w:p>
    <w:p>
      <w:r>
        <w:t>National single-year populations for both sexes came from IBGE's 2018 revision [6]; the 2024 revision following the 2022 Census provided a sensitivity [7].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t>For age domain D and year t, we calculated the directly standardised rate as follows.</w:t>
      </w:r>
    </w:p>
    <w:p>
      <w:r>
        <w:t>ASR(t,D) = Σ[a∈D] w(a,D) × 100,000 × deaths(a,t) / population(a,t).</w:t>
      </w:r>
    </w:p>
    <w:p>
      <w:r>
        <w:t>w(a,D) = population(a,2014) / Σ[j∈D] population(j,2014), so Σ[a∈D] w(a,D) = 1.</w:t>
      </w:r>
    </w:p>
    <w:p>
      <w:r>
        <w:t>Weights were fixed across years and normalised separately within each age domain, including 5–34 and 7–34. Each denominator revision supplied its own Brazil 2014 standard population. Deaths and population at ≥90 shared one open interval. WHO standardisation used five-year bands [8],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pPr>
        <w:pStyle w:val="Heading2"/>
      </w:pPr>
      <w:r>
        <w:t>Trends, count models and sensitivity scenarios</w:t>
      </w:r>
    </w:p>
    <w:p>
      <w:r>
        <w:t>We fitted Gaussian-family GLMs to national crude and Brazil-standardised annual rates and ordinary least squares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t>Count models used log-link Poisson, quasi-Poisson and negative binomial families [9].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SE. Quasi-Poisson used the t distribution with model residual degrees of freedom; Poisson and negative binomial used normal Wald intervals.</w:t>
      </w:r>
    </w:p>
    <w:p>
      <w: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pPr>
        <w:pStyle w:val="Heading2"/>
      </w:pPr>
      <w:r>
        <w:t>Kitagawa accounting decomposition</w:t>
      </w:r>
    </w:p>
    <w:p>
      <w:r>
        <w:t>For the corrected ≥7 population, symmetric Kitagawa decomposition [11] partitioned crude differences into an age-composition term C and an age-specific-rate term R.</w:t>
      </w:r>
    </w:p>
    <w:p>
      <w:r>
        <w:t>C = Σ[a] (w(a,1) − w(a,0)) × (r(a,0) + r(a,1)) / 2.</w:t>
      </w:r>
    </w:p>
    <w:p>
      <w:r>
        <w:t>R = Σ[a] (r(a,1) − r(a,0)) × (w(a,0) + w(a,1)) / 2.</w:t>
      </w:r>
    </w:p>
    <w:p>
      <w:r>
        <w:t>Crude(1) − crude(0) = C + R, with r in deaths per 100,000 and each year's w normalised within ≥7.</w:t>
      </w:r>
    </w:p>
    <w:p>
      <w: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pPr>
        <w:pStyle w:val="Heading2"/>
      </w:pPr>
      <w:r>
        <w:t>Software, reproducibility and ethics</w:t>
      </w:r>
    </w:p>
    <w:p>
      <w:r>
        <w:t>We used R 4.6.1 [10]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p>
      <w:r>
        <w:t>The historical workflow used Claude Code and GitHub Copilot. This revision used Codex for code, analysis checking and editorial drafting. Figures were plotted directly from analytical results. Both authors' review and approval of the final work remain pending.</w:t>
      </w:r>
    </w:p>
    <w:p>
      <w:r>
        <w:t>The study used public SIM mortality records and aggregate IBGE projections, with no participant contact, and reports only aggregate results. Formal ethics approval or exemption has not been documented. The applicable institutional and journal wording requires author confirmation, as detailed in the accompanying checklist.</w:t>
      </w:r>
    </w:p>
    <w:p>
      <w:pPr>
        <w:pStyle w:val="Heading1"/>
      </w:pPr>
      <w:r>
        <w:t>Results</w:t>
      </w:r>
    </w:p>
    <w:p>
      <w:pPr>
        <w:pStyle w:val="Heading2"/>
      </w:pPr>
      <w:r>
        <w:t>Historical reproduction and corrected selection</w:t>
      </w:r>
    </w:p>
    <w:p>
      <w:r>
        <w:t>The historical pipeline reproduced 19,105 underlying-cause candidates, 56 COVID exclusions, one reduced-key removal, 15 uninterpretable ages and 18,583 deaths at continuous age &gt;6. Brum et al.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pPr>
        <w:pStyle w:val="Heading2"/>
      </w:pPr>
      <w:r>
        <w:t>National domain of completed ages ≥7</w:t>
      </w:r>
    </w:p>
    <w:p>
      <w: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pPr>
        <w:pStyle w:val="Heading2"/>
      </w:pPr>
      <w:r>
        <w:t>Composition of the crude-rate change at ≥7</w:t>
      </w:r>
    </w:p>
    <w:p>
      <w: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pPr>
        <w:pStyle w:val="Heading2"/>
      </w:pPr>
      <w:r>
        <w:t>Mortality within ages 5–34 and sensitivity analyses</w:t>
      </w:r>
    </w:p>
    <w:p>
      <w: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 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w:t>
      </w:r>
    </w:p>
    <w:p>
      <w: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 At 35–59 the crude slope remained imprecise (p = 0.132); uncertainty is not evidence of stability.</w:t>
      </w:r>
    </w:p>
    <w:p>
      <w:pPr>
        <w:pStyle w:val="Heading1"/>
      </w:pPr>
      <w:r>
        <w:t>Discussion</w:t>
      </w:r>
    </w:p>
    <w:p>
      <w:r>
        <w:t>The corrected analysis found an increase in aligned crude asthma mortality among people aged ≥7 between 2014 and 2021. With Brazil 2014 age weights held fixed, the endpoint change was negative and the slope across all eight years was close to zero. The interval was compatible with trends in either direction and does not demonstrate stability. The positive age-adjusted negative binomial estimate with IBGE 2024 shows that national trend inference also depends on the model and population revision.</w:t>
      </w:r>
    </w:p>
    <w:p>
      <w:r>
        <w:t>Age composition contributed positively to the crude change for every endpoint pair under both population revisions. In some pairs, the composition term exceeded the net increase because the age-specific-rate term was negative. The decomposition explains how population composition and rates combine arithmetically; it cannot identify effects of death certification, treatment access or the pandemic. Endpoint comparisons and slopes across all annual observations describe different aspects of the series.</w:t>
      </w:r>
    </w:p>
    <w:p>
      <w:r>
        <w:t>Both crude and standardised mortality within ages 5–34 increased over 2014–2021. Standardising within this range accounts for changes in its internal age distribution. The primary Brazil-standardised slope retained a positive interval after excluding 2020; the corresponding WHO sensitivity with IBGE 2018 included zero. The nested 7–34 analysis assesses how including ages five and six affects the estimate and does not provide independent replication.</w:t>
      </w:r>
    </w:p>
    <w:p>
      <w:r>
        <w:t>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by Graudenz et al. [3].</w:t>
      </w:r>
    </w:p>
    <w:p>
      <w:r>
        <w:t>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by Brum et al. remain unavailable. Exact reproduction of recorded counts and aggregates therefore cannot establish historical file identity.</w:t>
      </w:r>
    </w:p>
    <w:p>
      <w:r>
        <w:t>Negative binomial θ iteration warnings near the Poisson limit limit confidence in dispersion estimation. We retained every model and its warnings to make these limitations visible. Statistical intervals quantify model uncertainty; they do not capture uncertainty in record selection, certification or population reconstruction.</w:t>
      </w:r>
    </w:p>
    <w:p>
      <w: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pPr>
        <w:pStyle w:val="Heading1"/>
      </w:pPr>
      <w:r>
        <w:t>Funding</w:t>
      </w:r>
    </w:p>
    <w:p>
      <w:r>
        <w:t>No funding was received for this study. This declaration is retained from the reviewed PDF and awaits confirmation of both authors' circumstances in the accompanying checklist.</w:t>
      </w:r>
    </w:p>
    <w:p>
      <w:pPr>
        <w:pStyle w:val="Heading1"/>
      </w:pPr>
      <w:r>
        <w:t>Conflicts of interest</w:t>
      </w:r>
    </w:p>
    <w:p>
      <w:r>
        <w:t>The authors declare no conflicts of interest. This declaration is retained from the reviewed PDF and awaits confirmation by both authors.</w:t>
      </w:r>
    </w:p>
    <w:p>
      <w:pPr>
        <w:pStyle w:val="Heading1"/>
      </w:pPr>
      <w:r>
        <w:t>Author contributions</w:t>
      </w:r>
    </w:p>
    <w:p>
      <w:r>
        <w:t>Author order and affiliations are carried forward from the reviewed PDF. Final CRediT contributions and completion of each author's scientific review require confirmation before submission; no completed validation is asserted here.</w:t>
      </w:r>
    </w:p>
    <w:p>
      <w:pPr>
        <w:pStyle w:val="Heading1"/>
      </w:pPr>
      <w:r>
        <w:t>References</w:t>
      </w:r>
    </w:p>
    <w:p>
      <w:r>
        <w:t>1. Brum M, Henz J, Boeira M, Soares S, Friedrich F, Pitrez PM. Recent increase in asthma mortality in Brazil: a warning sign for the public health system. J Bras Pneumol. 2024;50(5):e20240138. doi:10.36416/1806-3756/e20240138</w:t>
      </w:r>
    </w:p>
    <w:p>
      <w:r>
        <w:t>2. Cardoso ADRO, Ferreira ACG, Rabahi MF. Asthma-related deaths in Brazil: data from an ecological study. J Bras Pneumol. 2024;50(6):e20240296. doi:10.36416/1806-3756/e20240296</w:t>
      </w:r>
    </w:p>
    <w:p>
      <w:r>
        <w:t>3. Graudenz GS, Carneiro DP, Vieira RP. Trends in asthma mortality in the 0- to 4-year and 5- to 34-year age groups in Brazil. J Bras Pneumol. 2017;43(1):24-31. doi:10.1590/S1806-37562015000000253</w:t>
      </w:r>
    </w:p>
    <w:p>
      <w:r>
        <w:t>4. Brum M, et al. Analysis code accompanying reference 1. GitHub repository, commit 8d527a5 (15 May 2024). Available from: https://github.com/mobrant94/asthma_mortality</w:t>
      </w:r>
    </w:p>
    <w:p>
      <w:r>
        <w:t>5. Ministério da Saúde (Brasil). Sistema de Informação sobre Mortalidade (SIM). Portal de Dados Abertos do SUS. Available from: https://dadosabertos.saude.gov.br/dataset/sim</w:t>
      </w:r>
    </w:p>
    <w:p>
      <w:r>
        <w:t>6.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t>7. Instituto Brasileiro de Geografia e Estatística. Projeções da População, revisão 2024: população por idade simples. Available from: https://ftp.ibge.gov.br/Projecao_da_Populacao/Projecao_da_Populacao_2024/ (accessed 1 October 2026)</w:t>
      </w:r>
    </w:p>
    <w:p>
      <w:r>
        <w:t>8. Ahmad OB, Boschi-Pinto C, Lopez AD, Murray CJL, Lozano R, Inoue M. Age standardization of rates: a new WHO standard. GPE Discussion Paper Series No. 31. Geneva: World Health Organization; 2001.</w:t>
      </w:r>
    </w:p>
    <w:p>
      <w:r>
        <w:t>9. Venables WN, Ripley BD. Modern applied statistics with S. 4th ed. New York: Springer; 2002.</w:t>
      </w:r>
    </w:p>
    <w:p>
      <w:r>
        <w:t>10. R Core Team. R: a language and environment for statistical computing. Vienna: R Foundation for Statistical Computing; 2026. Available from: https://www.R-project.org/</w:t>
      </w:r>
    </w:p>
    <w:p>
      <w:r>
        <w:t>11. Kitagawa EM. Components of a difference between two rates. J Am Stat Assoc. 1955;50(272):1168–1194. doi:10.1080/01621459.1955.10501299</w:t>
      </w:r>
    </w:p>
    <w:p>
      <w:r>
        <w:t>12. Ministério da Saúde. Estrutura de Dados SIM. Secretaria de Vigilância em Saúde. Official data dictionary, archived by UFBA. https://ccvisat.ufba.br/wp-content/uploads/2019/10/Estrutura-do-SIM-para-o-CD-ROM.pdf (accessed 11 October 2026).</w:t>
      </w:r>
    </w:p>
    <w:p>
      <w:pPr>
        <w:pStyle w:val="Heading1"/>
      </w:pPr>
      <w:r>
        <w:t>Table 1. Historical comparators and corrected primary rates, Brazil, 2014–2021</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Corrected crude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0.0270 (0.0030, 0.0509)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 (-0.0214, 0.0217)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0.0079 (0.0021, 0.0138)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 (0.0018, 0.0132)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0.0093 (0.0029, 0.0156)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0.0221 (-0.0089, 0.0532)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all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0.0250 (0.0036, 0.0463)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≥7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0.0268 (0.0031, 0.0505)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r>
    </w:tbl>
    <w:p>
      <w:pPr>
        <w:spacing w:after="20"/>
      </w:pPr>
    </w:p>
    <w:p>
      <w: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pPr>
        <w:pStyle w:val="Heading1"/>
      </w:pPr>
      <w:r>
        <w:t>Figure 1. Relative changes from 2014</w:t>
      </w:r>
    </w:p>
    <w:p>
      <w:pPr>
        <w:jc w:val="center"/>
      </w:pPr>
      <w:r>
        <w:drawing>
          <wp:inline xmlns:a="http://schemas.openxmlformats.org/drawingml/2006/main" xmlns:pic="http://schemas.openxmlformats.org/drawingml/2006/picture">
            <wp:extent cx="6126480" cy="391051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126480" cy="3910519"/>
                    </a:xfrm>
                    <a:prstGeom prst="rect"/>
                  </pic:spPr>
                </pic:pic>
              </a:graphicData>
            </a:graphic>
          </wp:inline>
        </w:drawing>
      </w:r>
    </w:p>
    <w:p>
      <w:pPr>
        <w:pStyle w:val="Caption"/>
      </w:pPr>
      <w:r>
        <w:t>Figure 1. Corrected aligned crude and Brazil-2014-standardised national rates for completed ages ≥7, plus rates standardised within 5–34. IBGE 2018 denominators; changes relative to each series' own 2014 rate.</w:t>
      </w:r>
    </w:p>
    <w:p>
      <w:pPr>
        <w:pStyle w:val="Heading1"/>
      </w:pPr>
      <w:r>
        <w:t>Figure 2. Kitagawa sensitivity to population revision</w:t>
      </w:r>
    </w:p>
    <w:p>
      <w:pPr>
        <w:jc w:val="center"/>
      </w:pPr>
      <w:r>
        <w:drawing>
          <wp:inline xmlns:a="http://schemas.openxmlformats.org/drawingml/2006/main" xmlns:pic="http://schemas.openxmlformats.org/drawingml/2006/picture">
            <wp:extent cx="6126480" cy="3491240"/>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126480" cy="3491240"/>
                    </a:xfrm>
                    <a:prstGeom prst="rect"/>
                  </pic:spPr>
                </pic:pic>
              </a:graphicData>
            </a:graphic>
          </wp:inline>
        </w:drawing>
      </w:r>
    </w:p>
    <w:p>
      <w:pPr>
        <w:pStyle w:val="Caption"/>
      </w:pPr>
      <w:r>
        <w:t>Figure 2. Corrected ≥7 crude-rate changes partitioned into age-composition and age-specific-rate components for six pairs, with IBGE 2018 and 2024. Components sum to net change before rounding and are not causal effects.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Manuscript_CLEAN</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