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Comparison against the PDF sent to Amaury</w:t>
      </w:r>
    </w:p>
    <w:p>
      <w:r>
        <w:t>Reference: 10 October 2026 PDF, SHA-256 fc552ab83d5254549fa4f1dfe880ab631a26c50bc8d861bfdc433331544e71fe. The concordant Word supplies reference text. This is a visibly marked textual comparison, not native Word Track Changes. Red strike-through = removed text; green = added text. Tables are represented as row text. Figures are regenerated from identified corrected results; the clean manuscript and supplement contain the final graphics.</w:t>
      </w:r>
    </w:p>
    <w:p>
      <w:r>
        <w:rPr>
          <w:strike/>
          <w:color w:val="9C2020"/>
        </w:rPr>
        <w:t>ASTHMA MORTALITY IN BRAZIL</w:t>
      </w:r>
    </w:p>
    <w:p>
      <w:r>
        <w:rPr>
          <w:strike/>
          <w:color w:val="9C2020"/>
        </w:rPr>
        <w:t>Reassessing the reported increase in asthma mortality in Brazil: reproduction and age-specific reanalysis, 2014–2021</w:t>
      </w:r>
    </w:p>
    <w:p>
      <w:r>
        <w:rPr>
          <w:strike/>
          <w:color w:val="9C2020"/>
        </w:rPr>
        <w:t>Authors: Francisco Federico García Crespi¹ · Amaury de Souza²</w:t>
      </w:r>
    </w:p>
    <w:p>
      <w:r>
        <w:rPr>
          <w:strike/>
          <w:color w:val="9C2020"/>
        </w:rPr>
        <w:t>¹ Universidad Miguel Hernández, Elche, Alicante, Spain</w:t>
      </w:r>
    </w:p>
    <w:p>
      <w:r>
        <w:rPr>
          <w:strike/>
          <w:color w:val="9C2020"/>
        </w:rPr>
        <w:t>² Institute of Physics, Federal University of Mato Grosso do Sul (UFMS), Campo Grande, MS, Brazil</w:t>
      </w:r>
    </w:p>
    <w:p>
      <w:r>
        <w:rPr>
          <w:strike/>
          <w:color w:val="9C2020"/>
        </w:rPr>
        <w:t>Corresponding author: Francisco Federico García Crespi · fedeg@umh.es</w:t>
      </w:r>
    </w:p>
    <w:p>
      <w:r>
        <w:rPr>
          <w:strike/>
          <w:color w:val="9C2020"/>
        </w:rPr>
        <w:t>Amaury de Souza · amaury.souza@ufms.br · ORCID: 0000-0001-8168-1482</w:t>
      </w:r>
    </w:p>
    <w:p>
      <w:r>
        <w:rPr>
          <w:strike/>
          <w:color w:val="9C2020"/>
        </w:rPr>
        <w:t>Reassessing the reported increase in asthma mortality in Brazil: reproduction and age-specific reanalysis, 2014–2021</w:t>
      </w:r>
    </w:p>
    <w:p>
      <w:r>
        <w:rPr>
          <w:color w:val="15653A"/>
        </w:rPr>
        <w:t>Reassessing asthma mortality in Brazil during 2014–2021 through reproduction and age-specific analysis</w:t>
      </w:r>
    </w:p>
    <w:p>
      <w:r>
        <w:rPr>
          <w:color w:val="15653A"/>
        </w:rPr>
        <w:t>Francisco Federico García Crespi¹ · Amaury de Souza²</w:t>
      </w:r>
    </w:p>
    <w:p>
      <w:r>
        <w:rPr>
          <w:color w:val="15653A"/>
        </w:rPr>
        <w:t>¹ Universidad Miguel Hernández, Elche, Alicante, Spain. ² Institute of Physics, Federal University of Mato Grosso do Sul, Campo Grande, MS, Brazil.</w:t>
      </w:r>
    </w:p>
    <w:p>
      <w:r>
        <w:rPr>
          <w:color w:val="15653A"/>
        </w:rPr>
        <w:t>Correspondence. Francisco Federico García Crespi, fedeg@umh.es. Author details and declarations are retained from the reviewed PDF and require confirmation in the accompanying checklist.</w:t>
      </w:r>
    </w:p>
    <w:p>
      <w:r>
        <w:t>Abstract</w:t>
      </w:r>
    </w:p>
    <w:p>
      <w:r>
        <w:rPr>
          <w:strike/>
          <w:color w:val="9C2020"/>
        </w:rPr>
        <w:t>Objective: To assess whether rising crude asthma mortality in Brazil (2014–2021) persists after age standardisation and to examine trends at ages 5–34.</w:t>
      </w:r>
    </w:p>
    <w:p>
      <w:r>
        <w:rPr>
          <w:strike/>
          <w:color w:val="9C2020"/>
        </w:rPr>
        <w:t>Methods: 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r>
        <w:rPr>
          <w:strike/>
          <w:color w:val="9C2020"/>
        </w:rPr>
        <w:t>Results: 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r>
        <w:rPr>
          <w:strike/>
          <w:color w:val="9C2020"/>
        </w:rPr>
        <w:t>Conclusion: 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r>
        <w:rPr>
          <w:strike/>
          <w:color w:val="9C2020"/>
        </w:rPr>
        <w:t>Keywords: Asthma; Mortality; Age Distribution; Population Dynamics; Reproducibility of Results; Brazil.</w:t>
      </w:r>
    </w:p>
    <w:p>
      <w:r>
        <w:rPr>
          <w:color w:val="15653A"/>
        </w:rPr>
        <w:t>Objective. To assess whether the reported increase in crude asthma mortality in Brazil during 2014–2021 persists after age standardisation among people aged ≥7 years, and to examine mortality within ages 5–34.</w:t>
      </w:r>
    </w:p>
    <w:p>
      <w:r>
        <w:rPr>
          <w:color w:val="15653A"/>
        </w:rPr>
        <w:t>Methods. We reproduced the historical analysis and revised record selection using completed calendar age, COVID exclusions including U071, and retention of two 2018 records whose identity could not be established. The primary analysis used IBGE 2018 denominators and Brazil 2014 standard weights, normalised within each age range. Sensitivities examined IBGE 2024, WHO weights, count models, alternative selection rules and pandemic-period restrictions.</w:t>
      </w:r>
    </w:p>
    <w:p>
      <w:r>
        <w:rPr>
          <w:color w:val="15653A"/>
        </w:rP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rPr>
          <w:color w:val="15653A"/>
        </w:rPr>
        <w:t>Conclusion.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rPr>
          <w:color w:val="15653A"/>
        </w:rPr>
        <w:t>Keywords. Asthma; Mortality; Age Distribution; Population Dynamics; Reproducibility of Results; Brazil.</w:t>
      </w:r>
    </w:p>
    <w:p>
      <w:r>
        <w:t>Introduction</w:t>
      </w:r>
    </w:p>
    <w:p>
      <w:r>
        <w:rPr>
          <w:strike/>
          <w:color w:val="9C2020"/>
        </w:rPr>
        <w:t>Brum et al. concluded that “asthma mortality remains high and shows an increasing trend for the first time in the past decades” [1].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r>
        <w:rPr>
          <w:strike/>
          <w:color w:val="9C2020"/>
        </w:rPr>
        <w:t>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r>
        <w:rPr>
          <w:strike/>
          <w:color w:val="9C2020"/>
        </w:rPr>
        <w:t>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r>
        <w:rPr>
          <w:strike/>
          <w:color w:val="9C2020"/>
        </w:rPr>
        <w:t>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p>
      <w:r>
        <w:rPr>
          <w:color w:val="15653A"/>
        </w:rPr>
        <w:t>Brum et al. concluded that "asthma mortality remains high and shows an increasing trend for the first time in the past decades" [1]. Their nationwide analysis for 2014–2021 identified 18,584 asthma deaths and reported an annual increase of approximately 2.5%. Cardoso et al., studying 2013–2023, also concluded that asthma-related deaths had increased [2]. They based this conclusion on annual death counts and reported a stable overall mortality rate per 100,000 inhabitants. These measures describe different aspects of mortality. Neither establishes an increase in the national age-standardised rate.</w:t>
      </w:r>
    </w:p>
    <w:p>
      <w:r>
        <w:rPr>
          <w:color w:val="15653A"/>
        </w:rPr>
        <w:t>Earlier Brazilian surveillance offers a longer perspective. Graudenz et al.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rPr>
          <w:color w:val="15653A"/>
        </w:rPr>
        <w:t>Population ageing is relevant to this comparison because approximately two thirds of asthma deaths occurred among people aged ≥60 [1,2]. Changes in age composition can raise crude mortality even when age-specific rates do not increase. Neither Brum et al. nor Cardoso et al. directly age-standardised the national series. Brum et al.'s public code [4] provides an opportunity to examine case selection, population denominators and trend estimates before reassessing the mortality pattern.</w:t>
      </w:r>
    </w:p>
    <w:p>
      <w:r>
        <w:rPr>
          <w:color w:val="15653A"/>
        </w:rPr>
        <w:t>We examined whether the reported increase in Brazilian asthma mortality during 2014–2021 persisted when population age structure was held fixed. We first reproduced Brum et al.'s analysis and documented agreements and discrepancies with the published results. We then estimated national rates among people aged ≥7 years and rates within ages 5–34, standardising separately within each range. Post hoc sensitivity analyses examined alternative population projections, WHO weights, count models, selection rules and pandemic-period restrictions. These analyses distinguish the observed crude increase from the national and age-specific trends supported by the data.</w:t>
      </w:r>
    </w:p>
    <w:p>
      <w:r>
        <w:t>Methods</w:t>
      </w:r>
    </w:p>
    <w:p>
      <w:r>
        <w:rPr>
          <w:strike/>
          <w:color w:val="9C2020"/>
        </w:rPr>
        <w:t>Study design</w:t>
      </w:r>
    </w:p>
    <w:p>
      <w:r>
        <w:rPr>
          <w:strike/>
          <w:color w:val="9C2020"/>
        </w:rPr>
        <w:t>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p>
      <w:r>
        <w:rPr>
          <w:strike/>
          <w:color w:val="9C2020"/>
        </w:rPr>
        <w:t>Mortality data and case selection</w:t>
      </w:r>
    </w:p>
    <w:p>
      <w:r>
        <w:rPr>
          <w:strike/>
          <w:color w:val="9C2020"/>
        </w:rPr>
        <w:t>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r>
        <w:rPr>
          <w:strike/>
          <w:color w:val="9C2020"/>
        </w:rPr>
        <w:t>Deaths were selected when the underlying cause contained ICD-10 J45 or J46. Records containing the COVID-related codes B342 or U072, or the text “COVID-19”, in the cause-of-death lines were excluded. Age was calculated from birth and death dates as the elapsed number of days divided by 365.25. Records with invalid or missing birth dates were excluded from age-specific analyses.</w:t>
      </w:r>
    </w:p>
    <w:p>
      <w:r>
        <w:rPr>
          <w:strike/>
          <w:color w:val="9C2020"/>
        </w:rPr>
        <w:t>Duplicate records were identified using the birth and death dates, underlying cause and five available cause-of-death fields. This procedure uses the variables loaded by our pipeline but does not exactly reproduce the original full-record deduplication.</w:t>
      </w:r>
    </w:p>
    <w:p>
      <w:r>
        <w:rPr>
          <w:strike/>
          <w:color w:val="9C2020"/>
        </w:rPr>
        <w:t>To reproduce Brum et al., we retained deaths with calculated age greater than six years. The 5–34-year analysis instead used all age-valid records, including deaths at ages five and six.</w:t>
      </w:r>
    </w:p>
    <w:p>
      <w:r>
        <w:rPr>
          <w:strike/>
          <w:color w:val="9C2020"/>
        </w:rPr>
        <w:t>Population denominators</w:t>
      </w:r>
    </w:p>
    <w:p>
      <w:r>
        <w:rPr>
          <w:strike/>
          <w:color w:val="9C2020"/>
        </w:rPr>
        <w:t>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p>
      <w:r>
        <w:rPr>
          <w:strike/>
          <w:color w:val="9C2020"/>
        </w:rPr>
        <w:t>Mortality rates and age standardisation</w:t>
      </w:r>
    </w:p>
    <w:p>
      <w:r>
        <w:rPr>
          <w:strike/>
          <w:color w:val="9C2020"/>
        </w:rPr>
        <w:t>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r>
        <w:rPr>
          <w:strike/>
          <w:color w:val="9C2020"/>
        </w:rPr>
        <w:t>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r>
        <w:rPr>
          <w:strike/>
          <w:color w:val="9C2020"/>
        </w:rPr>
        <w:t>Rates for ages 5–34, 7–34 and 35–59 years used deaths and population denominators restricted to the corresponding ages. Post hoc analyses also used the WHO World Standard Population [8].</w:t>
      </w:r>
    </w:p>
    <w:p>
      <w:r>
        <w:rPr>
          <w:strike/>
          <w:color w:val="9C2020"/>
        </w:rPr>
        <w:t>Statistical analysis</w:t>
      </w:r>
    </w:p>
    <w:p>
      <w:r>
        <w:rPr>
          <w:strike/>
          <w:color w:val="9C2020"/>
        </w:rPr>
        <w:t>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r>
        <w:rPr>
          <w:strike/>
          <w:color w:val="9C2020"/>
        </w:rPr>
        <w:t>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p>
      <w:r>
        <w:rPr>
          <w:strike/>
          <w:color w:val="9C2020"/>
        </w:rPr>
        <w:t>Software, data and code availability</w:t>
      </w:r>
    </w:p>
    <w:p>
      <w:r>
        <w:rPr>
          <w:strike/>
          <w:color w:val="9C2020"/>
        </w:rPr>
        <w:t>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p>
      <w:r>
        <w:rPr>
          <w:strike/>
          <w:color w:val="9C2020"/>
        </w:rPr>
        <w:t>Use of artificial intelligence</w:t>
      </w:r>
    </w:p>
    <w:p>
      <w:r>
        <w:rPr>
          <w:strike/>
          <w:color w:val="9C2020"/>
        </w:rPr>
        <w:t>Generative AI tools, including Claude Code (Anthropic) and GitHub Copilot (GitHub), were used to generate and review analysis scripts and to examine analytical results. The authors wrote and finalised the manuscript.</w:t>
      </w:r>
    </w:p>
    <w:p>
      <w:r>
        <w:rPr>
          <w:strike/>
          <w:color w:val="9C2020"/>
        </w:rPr>
        <w:t>The figures were rendered programmatically from analytical outputs rather than generated as images by an AI image-generation tool.</w:t>
      </w:r>
    </w:p>
    <w:p>
      <w:r>
        <w:rPr>
          <w:strike/>
          <w:color w:val="9C2020"/>
        </w:rPr>
        <w:t>Ethics</w:t>
      </w:r>
    </w:p>
    <w:p>
      <w:r>
        <w:rPr>
          <w:strike/>
          <w:color w:val="9C2020"/>
        </w:rPr>
        <w:t>The study used publicly accessible SIM mortality data and aggregated population projections without direct contact with participants. No identifying personal information was included in the reported results.</w:t>
      </w:r>
    </w:p>
    <w:p>
      <w:r>
        <w:rPr>
          <w:color w:val="15653A"/>
        </w:rPr>
        <w:t>Study design and reference reproduction</w:t>
      </w:r>
    </w:p>
    <w:p>
      <w:r>
        <w:rPr>
          <w:color w:val="15653A"/>
        </w:rPr>
        <w:t>This secondary ecological analysis examined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WHO, IBGE 2024, count models, Kitagawa decomposition and alternative selection and periods provided sensitivity or descriptive analyses. We applied no multiple-testing correction.</w:t>
      </w:r>
    </w:p>
    <w:p>
      <w:r>
        <w:rPr>
          <w:color w:val="15653A"/>
        </w:rP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rPr>
          <w:color w:val="15653A"/>
        </w:rPr>
        <w:t>Selection, COVID mentions and record identity</w:t>
      </w:r>
    </w:p>
    <w:p>
      <w:r>
        <w:rPr>
          <w:color w:val="15653A"/>
        </w:rPr>
        <w:t>We selected records whose underlying cause field, CAUSABAS, contained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rPr>
          <w:color w:val="15653A"/>
        </w:rP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[12]. NUMERODO is absent from these CSVs. The available fields therefore do not establish whether the rows refer to the same death. We retained both in the primary analysis and assessed their collapse under the historical key as a sensitivity.</w:t>
      </w:r>
    </w:p>
    <w:p>
      <w:r>
        <w:rPr>
          <w:color w:val="15653A"/>
        </w:rPr>
        <w:t>Calendar ages and analytical domains</w:t>
      </w:r>
    </w:p>
    <w:p>
      <w:r>
        <w:rPr>
          <w:color w:val="15653A"/>
        </w:rP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rPr>
          <w:color w:val="15653A"/>
        </w:rPr>
        <w:t>Calendar age defined the ≥7, 5–34, 7–34, 35–59 and ≥60 groups. One sensitivity used days/365.25, with its floor defining single-year bins. The historical reproduction retained the continuous &gt;6 threshold as a separate population.</w:t>
      </w:r>
    </w:p>
    <w:p>
      <w:r>
        <w:rPr>
          <w:color w:val="15653A"/>
        </w:rPr>
        <w:t>Denominators and direct standardisation</w:t>
      </w:r>
    </w:p>
    <w:p>
      <w:r>
        <w:rPr>
          <w:color w:val="15653A"/>
        </w:rPr>
        <w:t>National single-year populations for both sexes came from IBGE's 2018 revision [6]; the 2024 revision following the 2022 Census provided a sensitivity [7].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For age domain D and year t, we calculated the directly standardised rate as follows.</w:t>
      </w:r>
    </w:p>
    <w:p>
      <w:r>
        <w:rPr>
          <w:color w:val="15653A"/>
        </w:rPr>
        <w:t>ASR(t,D) = Σ[a∈D] w(a,D) × 100,000 × deaths(a,t) / population(a,t).</w:t>
      </w:r>
    </w:p>
    <w:p>
      <w:r>
        <w:rPr>
          <w:color w:val="15653A"/>
        </w:rPr>
        <w:t>w(a,D) = population(a,2014) / Σ[j∈D] population(j,2014), so Σ[a∈D] w(a,D) = 1.</w:t>
      </w:r>
    </w:p>
    <w:p>
      <w:r>
        <w:rPr>
          <w:color w:val="15653A"/>
        </w:rPr>
        <w:t>Weights were fixed across years and normalised separately within each age domain, including 5–34 and 7–34. Each denominator revision supplied its own Brazil 2014 standard population. Deaths and population at ≥90 shared one open interval. WHO standardisation used five-year bands [8],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r>
        <w:rPr>
          <w:color w:val="15653A"/>
        </w:rPr>
        <w:t>Trends, count models and sensitivity scenarios</w:t>
      </w:r>
    </w:p>
    <w:p>
      <w:r>
        <w:rPr>
          <w:color w:val="15653A"/>
        </w:rPr>
        <w:t>We fitted Gaussian-family GLMs to national crude and Brazil-standardised annual rates and ordinary least squares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rPr>
          <w:color w:val="15653A"/>
        </w:rPr>
        <w:t>Count models used log-link Poisson, quasi-Poisson and negative binomial families [9].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SE. Quasi-Poisson used the t distribution with model residual degrees of freedom; Poisson and negative binomial used normal Wald intervals.</w:t>
      </w:r>
    </w:p>
    <w:p>
      <w:r>
        <w:rPr>
          <w:color w:val="15653A"/>
        </w:rP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rPr>
          <w:color w:val="15653A"/>
        </w:rP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r>
        <w:rPr>
          <w:color w:val="15653A"/>
        </w:rPr>
        <w:t>Kitagawa accounting decomposition</w:t>
      </w:r>
    </w:p>
    <w:p>
      <w:r>
        <w:rPr>
          <w:color w:val="15653A"/>
        </w:rPr>
        <w:t>For the corrected ≥7 population, symmetric Kitagawa decomposition [11] partitioned crude differences into an age-composition term C and an age-specific-rate term R.</w:t>
      </w:r>
    </w:p>
    <w:p>
      <w:r>
        <w:rPr>
          <w:color w:val="15653A"/>
        </w:rPr>
        <w:t>C = Σ[a] (w(a,1) − w(a,0)) × (r(a,0) + r(a,1)) / 2.</w:t>
      </w:r>
    </w:p>
    <w:p>
      <w:r>
        <w:rPr>
          <w:color w:val="15653A"/>
        </w:rPr>
        <w:t>R = Σ[a] (r(a,1) − r(a,0)) × (w(a,0) + w(a,1)) / 2.</w:t>
      </w:r>
    </w:p>
    <w:p>
      <w:r>
        <w:rPr>
          <w:color w:val="15653A"/>
        </w:rPr>
        <w:t>Crude(1) − crude(0) = C + R, with r in deaths per 100,000 and each year's w normalised within ≥7.</w:t>
      </w:r>
    </w:p>
    <w:p>
      <w:r>
        <w:rPr>
          <w:color w:val="15653A"/>
        </w:rP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r>
        <w:rPr>
          <w:color w:val="15653A"/>
        </w:rPr>
        <w:t>Software, reproducibility and ethics</w:t>
      </w:r>
    </w:p>
    <w:p>
      <w:r>
        <w:rPr>
          <w:color w:val="15653A"/>
        </w:rPr>
        <w:t>We used R 4.6.1 [10]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p>
      <w:r>
        <w:rPr>
          <w:color w:val="15653A"/>
        </w:rPr>
        <w:t>The historical workflow used Claude Code and GitHub Copilot. This revision used Codex for code, analysis checking and editorial drafting. Figures were plotted directly from analytical results. Both authors' review and approval of the final work remain pending.</w:t>
      </w:r>
    </w:p>
    <w:p>
      <w:r>
        <w:rPr>
          <w:color w:val="15653A"/>
        </w:rPr>
        <w:t>The study used public SIM mortality records and aggregate IBGE projections, with no participant contact, and reports only aggregate results. Formal ethics approval or exemption has not been documented. The applicable institutional and journal wording requires author confirmation, as detailed in the accompanying checklist.</w:t>
      </w:r>
    </w:p>
    <w:p>
      <w:r>
        <w:t>Results</w:t>
      </w:r>
    </w:p>
    <w:p>
      <w:r>
        <w:rPr>
          <w:strike/>
          <w:color w:val="9C2020"/>
        </w:rPr>
        <w:t>Reproduction of the original analysis</w:t>
      </w:r>
    </w:p>
    <w:p>
      <w:r>
        <w:rPr>
          <w:strike/>
          <w:color w:val="9C2020"/>
        </w:rPr>
        <w:t>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r>
        <w:rPr>
          <w:strike/>
          <w:color w:val="9C2020"/>
        </w:rPr>
        <w:t>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r>
        <w:rPr>
          <w:strike/>
          <w:color w:val="9C2020"/>
        </w:rPr>
        <w:t>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p>
      <w:r>
        <w:rPr>
          <w:strike/>
          <w:color w:val="9C2020"/>
        </w:rPr>
        <w:t>National trend after age standardisation</w:t>
      </w:r>
    </w:p>
    <w:p>
      <w:r>
        <w:rPr>
          <w:strike/>
          <w:color w:val="9C2020"/>
        </w:rPr>
        <w:t>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r>
        <w:rPr>
          <w:strike/>
          <w:color w:val="9C2020"/>
        </w:rPr>
        <w:t>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p>
      <w:r>
        <w:rPr>
          <w:strike/>
          <w:color w:val="9C2020"/>
        </w:rPr>
        <w:t>Decomposition of the change in the crude rate</w:t>
      </w:r>
    </w:p>
    <w:p>
      <w:r>
        <w:rPr>
          <w:strike/>
          <w:color w:val="9C2020"/>
        </w:rPr>
        <w:t>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p>
      <w:r>
        <w:rPr>
          <w:strike/>
          <w:color w:val="9C2020"/>
        </w:rPr>
        <w:t>Ages 5–34 years</w:t>
      </w:r>
    </w:p>
    <w:p>
      <w:r>
        <w:rPr>
          <w:strike/>
          <w:color w:val="9C2020"/>
        </w:rPr>
        <w:t>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r>
        <w:rPr>
          <w:strike/>
          <w:color w:val="9C2020"/>
        </w:rPr>
        <w:t>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r>
        <w:rPr>
          <w:strike/>
          <w:color w:val="9C2020"/>
        </w:rPr>
        <w:t>At 35–59 years the evidence was inconclusive: the rate rose from 0.719 to 0.830 (+15.5%; p = 0.13), and the count models disagreed (p = 0.13 with quasi-Poisson and p = 0.036 with negative binomial).</w:t>
      </w:r>
    </w:p>
    <w:p>
      <w:r>
        <w:rPr>
          <w:color w:val="15653A"/>
        </w:rPr>
        <w:t>Historical reproduction and corrected selection</w:t>
      </w:r>
    </w:p>
    <w:p>
      <w:r>
        <w:rPr>
          <w:color w:val="15653A"/>
        </w:rPr>
        <w:t>The historical pipeline reproduced 19,105 underlying-cause candidates, 56 COVID exclusions, one reduced-key removal, 15 uninterpretable ages and 18,583 deaths at continuous age &gt;6. Brum et al.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rPr>
          <w:color w:val="15653A"/>
        </w:rP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r>
        <w:rPr>
          <w:color w:val="15653A"/>
        </w:rPr>
        <w:t>National domain of completed ages ≥7</w:t>
      </w:r>
    </w:p>
    <w:p>
      <w:r>
        <w:rPr>
          <w:color w:val="15653A"/>
        </w:rP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rPr>
          <w:color w:val="15653A"/>
        </w:rP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r>
        <w:rPr>
          <w:color w:val="15653A"/>
        </w:rPr>
        <w:t>Composition of the crude-rate change at ≥7</w:t>
      </w:r>
    </w:p>
    <w:p>
      <w:r>
        <w:rPr>
          <w:color w:val="15653A"/>
        </w:rP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rPr>
          <w:color w:val="15653A"/>
        </w:rPr>
        <w:t>Mortality within ages 5–34 and sensitivity analyses</w:t>
      </w:r>
    </w:p>
    <w:p>
      <w:r>
        <w:rPr>
          <w:color w:val="15653A"/>
        </w:rP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rPr>
          <w:color w:val="15653A"/>
        </w:rP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 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w:t>
      </w:r>
    </w:p>
    <w:p>
      <w:r>
        <w:rPr>
          <w:color w:val="15653A"/>
        </w:rP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r>
        <w:t>Discussion</w:t>
      </w:r>
    </w:p>
    <w:p>
      <w:r>
        <w:rPr>
          <w:strike/>
          <w:color w:val="9C2020"/>
        </w:rPr>
        <w:t>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r>
        <w:rPr>
          <w:strike/>
          <w:color w:val="9C2020"/>
        </w:rPr>
        <w:t>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 “shows an increasing trend for the first time in the past decades” [1] is consistent with the crude-rate increase reported by Brum et al., but our analysis does not establish a comparable increase in national age-standardised mortality during 2014–2021.</w:t>
      </w:r>
    </w:p>
    <w:p>
      <w:r>
        <w:rPr>
          <w:strike/>
          <w:color w:val="9C2020"/>
        </w:rPr>
        <w:t>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r>
        <w:rPr>
          <w:strike/>
          <w:color w:val="9C2020"/>
        </w:rPr>
        <w:t>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r>
        <w:rPr>
          <w:strike/>
          <w:color w:val="9C2020"/>
        </w:rPr>
        <w:t>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r>
        <w:rPr>
          <w:strike/>
          <w:color w:val="9C2020"/>
        </w:rPr>
        <w:t>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r>
        <w:rPr>
          <w:strike/>
          <w:color w:val="9C2020"/>
        </w:rPr>
        <w:t>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r>
        <w:rPr>
          <w:strike/>
          <w:color w:val="9C2020"/>
        </w:rPr>
        <w:t>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p>
      <w:r>
        <w:rPr>
          <w:color w:val="15653A"/>
        </w:rP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rPr>
          <w:color w:val="15653A"/>
        </w:rPr>
        <w:t>Age composition contributed positively to the crude change for every endpoint pair under both population revisions. In some pairs, the composition term exceeded the net increase because the age-specific-rate term was negative. The decomposition explains how population composition and rates combine arithmetically; it cannot identify effects of death certification, treatment access or the pandemic. Endpoint comparisons and slopes across all annual observations describe different aspects of the series.</w:t>
      </w:r>
    </w:p>
    <w:p>
      <w:r>
        <w:rPr>
          <w:color w:val="15653A"/>
        </w:rPr>
        <w:t>Both crude and standardised mortality within ages 5–34 increased over 2014–2021. Standardising within this range accounts for changes in its internal age distribution. The primary Brazil-standardised slope retained a positive interval after excluding 2020; the corresponding WHO sensitivity with IBGE 2018 included zero. The nested 7–34 analysis assesses how including ages five and six affects the estimate and does not provide independent replication.</w:t>
      </w:r>
    </w:p>
    <w:p>
      <w:r>
        <w:rPr>
          <w:color w:val="15653A"/>
        </w:rPr>
        <w:t>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by Graudenz et al. [3].</w:t>
      </w:r>
    </w:p>
    <w:p>
      <w:r>
        <w:rPr>
          <w:color w:val="15653A"/>
        </w:rPr>
        <w:t>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rPr>
          <w:color w:val="15653A"/>
        </w:rP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by Brum et al. remain unavailable. Exact reproduction of recorded counts and aggregates therefore cannot establish historical file identity.</w:t>
      </w:r>
    </w:p>
    <w:p>
      <w:r>
        <w:rPr>
          <w:color w:val="15653A"/>
        </w:rP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rPr>
          <w:color w:val="15653A"/>
        </w:rP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r>
        <w:t>Funding</w:t>
      </w:r>
    </w:p>
    <w:p>
      <w:r>
        <w:rPr>
          <w:strike/>
          <w:color w:val="9C2020"/>
        </w:rPr>
        <w:t>No funding was received for this study.</w:t>
      </w:r>
    </w:p>
    <w:p>
      <w:r>
        <w:rPr>
          <w:color w:val="15653A"/>
        </w:rPr>
        <w:t>No funding was received for this study. This declaration is retained from the reviewed PDF and awaits confirmation of both authors' circumstances in the accompanying checklist.</w:t>
      </w:r>
    </w:p>
    <w:p>
      <w:r>
        <w:t>Conflicts of interest</w:t>
      </w:r>
    </w:p>
    <w:p>
      <w:r>
        <w:rPr>
          <w:strike/>
          <w:color w:val="9C2020"/>
        </w:rPr>
        <w:t>The authors declare no conflicts of interest.</w:t>
      </w:r>
    </w:p>
    <w:p>
      <w:r>
        <w:rPr>
          <w:color w:val="15653A"/>
        </w:rPr>
        <w:t>The authors declare no conflicts of interest. This declaration is retained from the reviewed PDF and awaits confirmation by both authors.</w:t>
      </w:r>
    </w:p>
    <w:p>
      <w:r>
        <w:rPr>
          <w:color w:val="15653A"/>
        </w:rPr>
        <w:t>Author contributions</w:t>
      </w:r>
    </w:p>
    <w:p>
      <w:r>
        <w:rPr>
          <w:color w:val="15653A"/>
        </w:rPr>
        <w:t>Author order and affiliations are carried forward from the reviewed PDF. Final CRediT contributions and completion of each author's scientific review require confirmation before submission; no completed validation is asserted here.</w:t>
      </w:r>
    </w:p>
    <w:p>
      <w:r>
        <w:t>References</w:t>
      </w:r>
    </w:p>
    <w:p>
      <w:r>
        <w:rPr>
          <w:strike/>
          <w:color w:val="9C2020"/>
        </w:rPr>
        <w:t>Brum M, Henz J, Boeira M, Soares S, Friedrich F, Pitrez PM. Recent increase in asthma mortality in Brazil: a warning sign for the public health system. J Bras Pneumol. 2024;50(5):e20240138. doi:10.36416/1806-3756/e20240138</w:t>
      </w:r>
    </w:p>
    <w:p>
      <w:r>
        <w:rPr>
          <w:strike/>
          <w:color w:val="9C2020"/>
        </w:rPr>
        <w:t>Cardoso ADRO, Ferreira ACG, Rabahi MF. Asthma-related deaths in Brazil: data from an ecological study. J Bras Pneumol. 2024;50(6):e20240296. doi:10.36416/1806-3756/e20240296</w:t>
      </w:r>
    </w:p>
    <w:p>
      <w:r>
        <w:rPr>
          <w:strike/>
          <w:color w:val="9C2020"/>
        </w:rPr>
        <w:t>Graudenz GS, Carneiro DP, Vieira RP. Trends in asthma mortality in the 0- to 4-year and 5- to 34-year age groups in Brazil. J Bras Pneumol. 2017;43(1):24-31. doi:10.1590/S1806-37562015000000253</w:t>
      </w:r>
    </w:p>
    <w:p>
      <w:r>
        <w:rPr>
          <w:strike/>
          <w:color w:val="9C2020"/>
        </w:rPr>
        <w:t>Brum M, et al. Analysis code accompanying reference 1. GitHub repository, commit 8d527a5 (15 May 2024). Available from: https://github.com/mobrant94/asthma_mortality</w:t>
      </w:r>
    </w:p>
    <w:p>
      <w:r>
        <w:rPr>
          <w:strike/>
          <w:color w:val="9C2020"/>
        </w:rPr>
        <w:t>Ministério da Saúde (Brasil). Sistema de Informação sobre Mortalidade (SIM). Portal de Dados Abertos do SUS. Available from: https://dadosabertos.saude.gov.br/dataset/sim</w:t>
      </w:r>
    </w:p>
    <w:p>
      <w:r>
        <w:rPr>
          <w:strike/>
          <w:color w:val="9C2020"/>
        </w:rPr>
        <w:t>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strike/>
          <w:color w:val="9C2020"/>
        </w:rPr>
        <w:t>Instituto Brasileiro de Geografia e Estatística. Projeções da População, revisão 2024: população por idade simples. Available from: https://ftp.ibge.gov.br/Projecao_da_Populacao/Projecao_da_Populacao_2024/ (accessed 1 October 2026)</w:t>
      </w:r>
    </w:p>
    <w:p>
      <w:r>
        <w:rPr>
          <w:strike/>
          <w:color w:val="9C2020"/>
        </w:rPr>
        <w:t>Ahmad OB, Boschi-Pinto C, Lopez AD, Murray CJL, Lozano R, Inoue M. Age standardization of rates: a new WHO standard. GPE Discussion Paper Series No. 31. Geneva: World Health Organization; 2001.</w:t>
      </w:r>
    </w:p>
    <w:p>
      <w:r>
        <w:rPr>
          <w:strike/>
          <w:color w:val="9C2020"/>
        </w:rPr>
        <w:t>Venables WN, Ripley BD. Modern applied statistics with S. 4th ed. New York: Springer; 2002.</w:t>
      </w:r>
    </w:p>
    <w:p>
      <w:r>
        <w:rPr>
          <w:strike/>
          <w:color w:val="9C2020"/>
        </w:rPr>
        <w:t>R Core Team. R: a language and environment for statistical computing. Vienna: R Foundation for Statistical Computing; 2024. Available from: https://www.R-project.org/</w:t>
      </w:r>
    </w:p>
    <w:p>
      <w:r>
        <w:rPr>
          <w:strike/>
          <w:color w:val="9C2020"/>
        </w:rPr>
        <w:t>Tables</w:t>
      </w:r>
    </w:p>
    <w:p>
      <w:r>
        <w:rPr>
          <w:strike/>
          <w:color w:val="9C2020"/>
        </w:rPr>
        <w:t>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p>
      <w:r>
        <w:rPr>
          <w:strike/>
          <w:color w:val="9C2020"/>
        </w:rPr>
        <w:t>Series | Rate 2014 | Rate 2021 | Change (%) | Slopea | 95% CI | p</w:t>
      </w:r>
    </w:p>
    <w:p>
      <w:r>
        <w:rPr>
          <w:strike/>
          <w:color w:val="9C2020"/>
        </w:rPr>
        <w:t>Crude national rate | 1.012 | 1.138 | +12.5 | 0.0250 | (0.0036 to 0.0463) | 0.029</w:t>
      </w:r>
    </w:p>
    <w:p>
      <w:r>
        <w:rPr>
          <w:strike/>
          <w:color w:val="9C2020"/>
        </w:rPr>
        <w:t>Crude national rate, population &gt;6 years | 1.126 | 1.260 | +11.9 | 0.0268 | (0.0031 to 0.0505) | 0.032</w:t>
      </w:r>
    </w:p>
    <w:p>
      <w:r>
        <w:rPr>
          <w:strike/>
          <w:color w:val="9C2020"/>
        </w:rPr>
        <w:t>Age-standardised (Brazil 2014) | 1.123 | 1.078 | −4.0 | 0.0002 | (−0.0213 to 0.0217) | 0.983</w:t>
      </w:r>
    </w:p>
    <w:p>
      <w:r>
        <w:rPr>
          <w:strike/>
          <w:color w:val="9C2020"/>
        </w:rPr>
        <w:t>Ages 5–34 | 0.182 | 0.219 | +20.3 | 0.0080 | (0.0023 to 0.0138) | 0.014</w:t>
      </w:r>
    </w:p>
    <w:p>
      <w:r>
        <w:rPr>
          <w:strike/>
          <w:color w:val="9C2020"/>
        </w:rPr>
        <w:t>Ages 7–34 | 0.181 | 0.224 | +23.5 | 0.0094 | (0.0031 to 0.0156) | 0.011</w:t>
      </w:r>
    </w:p>
    <w:p>
      <w:r>
        <w:rPr>
          <w:strike/>
          <w:color w:val="9C2020"/>
        </w:rPr>
        <w:t>Ages 35–59 | 0.719 | 0.830 | +15.5 | 0.0221 | (−0.0089 to 0.0532) | 0.132</w:t>
      </w:r>
    </w:p>
    <w:p>
      <w:r>
        <w:rPr>
          <w:strike/>
          <w:color w:val="9C2020"/>
        </w:rPr>
        <w:t>Figures</w:t>
      </w:r>
    </w:p>
    <w:p>
      <w:r>
        <w:rPr>
          <w:strike/>
          <w:color w:val="9C2020"/>
        </w:rPr>
        <w:t>Figure 1. Relative changes in asthma mortality rates</w:t>
      </w:r>
    </w:p>
    <w:p>
      <w:r>
        <w:rPr>
          <w:strike/>
          <w:color w:val="9C2020"/>
        </w:rPr>
        <w:t>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w:t>
      </w:r>
    </w:p>
    <w:p>
      <w:r>
        <w:rPr>
          <w:strike/>
          <w:color w:val="9C2020"/>
        </w:rPr>
        <w:t>Figure 2. Kitagawa decomposition of crude-rate change</w:t>
      </w:r>
    </w:p>
    <w:p>
      <w:r>
        <w:rPr>
          <w:strike/>
          <w:color w:val="9C2020"/>
        </w:rPr>
        <w:t>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w:t>
      </w:r>
    </w:p>
    <w:p>
      <w:r>
        <w:rPr>
          <w:color w:val="15653A"/>
        </w:rPr>
        <w:t>1. Brum M, Henz J, Boeira M, Soares S, Friedrich F, Pitrez PM. Recent increase in asthma mortality in Brazil: a warning sign for the public health system. J Bras Pneumol. 2024;50(5):e20240138. doi:10.36416/1806-3756/e20240138</w:t>
      </w:r>
    </w:p>
    <w:p>
      <w:r>
        <w:rPr>
          <w:color w:val="15653A"/>
        </w:rPr>
        <w:t>2. Cardoso ADRO, Ferreira ACG, Rabahi MF. Asthma-related deaths in Brazil: data from an ecological study. J Bras Pneumol. 2024;50(6):e20240296. doi:10.36416/1806-3756/e20240296</w:t>
      </w:r>
    </w:p>
    <w:p>
      <w:r>
        <w:rPr>
          <w:color w:val="15653A"/>
        </w:rPr>
        <w:t>3. Graudenz GS, Carneiro DP, Vieira RP. Trends in asthma mortality in the 0- to 4-year and 5- to 34-year age groups in Brazil. J Bras Pneumol. 2017;43(1):24-31. doi:10.1590/S1806-37562015000000253</w:t>
      </w:r>
    </w:p>
    <w:p>
      <w:r>
        <w:rPr>
          <w:color w:val="15653A"/>
        </w:rPr>
        <w:t>4. Brum M, et al. Analysis code accompanying reference 1. GitHub repository, commit 8d527a5 (15 May 2024). Available from: https://github.com/mobrant94/asthma_mortality</w:t>
      </w:r>
    </w:p>
    <w:p>
      <w:r>
        <w:rPr>
          <w:color w:val="15653A"/>
        </w:rPr>
        <w:t>5. Ministério da Saúde (Brasil). Sistema de Informação sobre Mortalidade (SIM). Portal de Dados Abertos do SUS. Available from: https://dadosabertos.saude.gov.br/dataset/sim</w:t>
      </w:r>
    </w:p>
    <w:p>
      <w:r>
        <w:rPr>
          <w:color w:val="15653A"/>
        </w:rPr>
        <w:t>6.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color w:val="15653A"/>
        </w:rPr>
        <w:t>7. Instituto Brasileiro de Geografia e Estatística. Projeções da População, revisão 2024: população por idade simples. Available from: https://ftp.ibge.gov.br/Projecao_da_Populacao/Projecao_da_Populacao_2024/ (accessed 1 October 2026)</w:t>
      </w:r>
    </w:p>
    <w:p>
      <w:r>
        <w:rPr>
          <w:color w:val="15653A"/>
        </w:rPr>
        <w:t>8. Ahmad OB, Boschi-Pinto C, Lopez AD, Murray CJL, Lozano R, Inoue M. Age standardization of rates: a new WHO standard. GPE Discussion Paper Series No. 31. Geneva: World Health Organization; 2001.</w:t>
      </w:r>
    </w:p>
    <w:p>
      <w:r>
        <w:rPr>
          <w:color w:val="15653A"/>
        </w:rPr>
        <w:t>9. Venables WN, Ripley BD. Modern applied statistics with S. 4th ed. New York: Springer; 2002.</w:t>
      </w:r>
    </w:p>
    <w:p>
      <w:r>
        <w:rPr>
          <w:color w:val="15653A"/>
        </w:rPr>
        <w:t>10. R Core Team. R: a language and environment for statistical computing. Vienna: R Foundation for Statistical Computing; 2026. Available from: https://www.R-project.org/</w:t>
      </w:r>
    </w:p>
    <w:p>
      <w:r>
        <w:rPr>
          <w:color w:val="15653A"/>
        </w:rPr>
        <w:t>11. Kitagawa EM. Components of a difference between two rates. J Am Stat Assoc. 1955;50(272):1168–1194. doi:10.1080/01621459.1955.10501299</w:t>
      </w:r>
    </w:p>
    <w:p>
      <w:r>
        <w:rPr>
          <w:color w:val="15653A"/>
        </w:rPr>
        <w:t>12. Ministério da Saúde. Estrutura de Dados SIM. Secretaria de Vigilância em Saúde. Official data dictionary, archived by UFBA. https://ccvisat.ufba.br/wp-content/uploads/2019/10/Estrutura-do-SIM-para-o-CD-ROM.pdf (accessed 11 October 2026).</w:t>
      </w:r>
    </w:p>
    <w:p>
      <w:r>
        <w:rPr>
          <w:color w:val="15653A"/>
        </w:rPr>
        <w:t>Table 1. Historical comparators and corrected primary rates, Brazil, 2014–2021</w:t>
      </w:r>
    </w:p>
    <w:p>
      <w:r>
        <w:rPr>
          <w:color w:val="15653A"/>
        </w:rPr>
        <w:t>Series | 2014 | 2021 | Δ rate | Δ % | Slope (95% CI) | p</w:t>
      </w:r>
    </w:p>
    <w:p>
      <w:r>
        <w:rPr>
          <w:color w:val="15653A"/>
        </w:rPr>
        <w:t>Corrected crude ≥7 | 1.123 | 1.257 | +0.134 | +12.0 | 0.0270 (0.0030, 0.0509) | 0.033</w:t>
      </w:r>
    </w:p>
    <w:p>
      <w:r>
        <w:rPr>
          <w:color w:val="15653A"/>
        </w:rPr>
        <w:t>Brazil 2014 ASR ≥7 | 1.123 | 1.077 | -0.046 | -4.1 | 0.0002 (-0.0214, 0.0217) | 0.986</w:t>
      </w:r>
    </w:p>
    <w:p>
      <w:r>
        <w:rPr>
          <w:color w:val="15653A"/>
        </w:rPr>
        <w:t>Crude 5–34 | 0.182 | 0.218 | +0.036 | +19.7 | 0.0079 (0.0021, 0.0138) | 0.016</w:t>
      </w:r>
    </w:p>
    <w:p>
      <w:r>
        <w:rPr>
          <w:color w:val="15653A"/>
        </w:rPr>
        <w:t>Brazil 2014 ASR 5–34 | 0.182 | 0.215 | +0.033 | +18.0 | 0.0075 (0.0018, 0.0132) | 0.018</w:t>
      </w:r>
    </w:p>
    <w:p>
      <w:r>
        <w:rPr>
          <w:color w:val="15653A"/>
        </w:rPr>
        <w:t>Crude 7–34 | 0.181 | 0.223 | +0.042 | +22.9 | 0.0093 (0.0029, 0.0156) | 0.012</w:t>
      </w:r>
    </w:p>
    <w:p>
      <w:r>
        <w:rPr>
          <w:color w:val="15653A"/>
        </w:rPr>
        <w:t>Crude 35–59 | 0.719 | 0.830 | +0.111 | +15.5 | 0.0221 (-0.0089, 0.0532) | 0.132</w:t>
      </w:r>
    </w:p>
    <w:p>
      <w:r>
        <w:rPr>
          <w:color w:val="15653A"/>
        </w:rPr>
        <w:t>Historical &gt;6 / all population | 1.012 | 1.138 | +0.126 | +12.5 | 0.0250 (0.0036, 0.0463) | 0.029</w:t>
      </w:r>
    </w:p>
    <w:p>
      <w:r>
        <w:rPr>
          <w:color w:val="15653A"/>
        </w:rPr>
        <w:t>Historical &gt;6 / ≥7 population | 1.126 | 1.260 | +0.134 | +11.9 | 0.0268 (0.0031, 0.0505) | 0.032</w:t>
      </w:r>
    </w:p>
    <w:p>
      <w:r>
        <w:rPr>
          <w:color w:val="15653A"/>
        </w:rP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r>
        <w:rPr>
          <w:color w:val="15653A"/>
        </w:rPr>
        <w:t>Figure 1. Relative changes from 2014</w:t>
      </w:r>
    </w:p>
    <w:p>
      <w:r>
        <w:rPr>
          <w:color w:val="15653A"/>
        </w:rPr>
        <w:t>Figure 1. Corrected aligned crude and Brazil-2014-standardised national rates for completed ages ≥7, plus rates standardised within 5–34. IBGE 2018 denominators; changes relative to each series' own 2014 rate.</w:t>
      </w:r>
    </w:p>
    <w:p>
      <w:r>
        <w:rPr>
          <w:color w:val="15653A"/>
        </w:rPr>
        <w:t>Figure 2. Kitagawa sensitivity to population revision</w:t>
      </w:r>
    </w:p>
    <w:p>
      <w:r>
        <w:rPr>
          <w:color w:val="15653A"/>
        </w:rPr>
        <w:t>Figure 2. Corrected ≥7 crude-rate changes partitioned into age-composition and age-specific-rate components for six pairs, with IBGE 2018 and 2024. Components sum to net change before rounding and are not causal effects.</w:t>
      </w:r>
    </w:p>
    <w:p>
      <w:r>
        <w:t>Supplementary material</w:t>
      </w:r>
    </w:p>
    <w:p>
      <w:r>
        <w:rPr>
          <w:strike/>
          <w:color w:val="9C2020"/>
        </w:rPr>
        <w:t>Reassessing the reported increase in asthma mortality in Brazil: reproduction and age-specific reanalysis, 2014–2021</w:t>
      </w:r>
    </w:p>
    <w:p>
      <w:r>
        <w:rPr>
          <w:strike/>
          <w:color w:val="9C2020"/>
        </w:rPr>
        <w:t>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w:t>
      </w:r>
    </w:p>
    <w:p>
      <w:r>
        <w:rPr>
          <w:strike/>
          <w:color w:val="9C2020"/>
        </w:rPr>
        <w:t>Year | All records | Asthma (J45–J46) | After exclusionsa | Valid birth date | Age &gt;6 years</w:t>
      </w:r>
    </w:p>
    <w:p>
      <w:r>
        <w:rPr>
          <w:strike/>
          <w:color w:val="9C2020"/>
        </w:rPr>
        <w:t>2014 | 1,227,039 | 2,129 | 2,129 | 2,127 | 2,041</w:t>
      </w:r>
    </w:p>
    <w:p>
      <w:r>
        <w:rPr>
          <w:strike/>
          <w:color w:val="9C2020"/>
        </w:rPr>
        <w:t>2015 | 1,264,175 | 2,232 | 2,232 | 2,231 | 2,148</w:t>
      </w:r>
    </w:p>
    <w:p>
      <w:r>
        <w:rPr>
          <w:strike/>
          <w:color w:val="9C2020"/>
        </w:rPr>
        <w:t>2016 | 1,309,774 | 2,249 | 2,249 | 2,247 | 2,190</w:t>
      </w:r>
    </w:p>
    <w:p>
      <w:r>
        <w:rPr>
          <w:strike/>
          <w:color w:val="9C2020"/>
        </w:rPr>
        <w:t>2017 | 1,312,663 | 2,477 | 2,477 | 2,476 | 2,423</w:t>
      </w:r>
    </w:p>
    <w:p>
      <w:r>
        <w:rPr>
          <w:strike/>
          <w:color w:val="9C2020"/>
        </w:rPr>
        <w:t>2018 | 1,316,719 | 2,307 | 2,306 | 2,302 | 2,249</w:t>
      </w:r>
    </w:p>
    <w:p>
      <w:r>
        <w:rPr>
          <w:strike/>
          <w:color w:val="9C2020"/>
        </w:rPr>
        <w:t>2019 | 1,349,801 | 2,488 | 2,488 | 2,486 | 2,426</w:t>
      </w:r>
    </w:p>
    <w:p>
      <w:r>
        <w:rPr>
          <w:strike/>
          <w:color w:val="9C2020"/>
        </w:rPr>
        <w:t>2020 | 1,556,824 | 2,735 | 2,708 | 2,705 | 2,678</w:t>
      </w:r>
    </w:p>
    <w:p>
      <w:r>
        <w:rPr>
          <w:strike/>
          <w:color w:val="9C2020"/>
        </w:rPr>
        <w:t>2021 | 1,832,649 | 2,488 | 2,459 | 2,459 | 2,428</w:t>
      </w:r>
    </w:p>
    <w:p>
      <w:r>
        <w:rPr>
          <w:strike/>
          <w:color w:val="9C2020"/>
        </w:rPr>
        <w:t>Total | 11,169,644 | 19,105 | 19,048 | 19,033 | 18,583</w:t>
      </w:r>
    </w:p>
    <w:p>
      <w:r>
        <w:rPr>
          <w:strike/>
          <w:color w:val="9C2020"/>
        </w:rPr>
        <w:t>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p>
      <w:r>
        <w:rPr>
          <w:strike/>
          <w:color w:val="9C2020"/>
        </w:rPr>
        <w:t>Series | 2014 | 2015 | 2016 | 2017 | 2018 | 2019 | 2020 | 2021</w:t>
      </w:r>
    </w:p>
    <w:p>
      <w:r>
        <w:rPr>
          <w:strike/>
          <w:color w:val="9C2020"/>
        </w:rPr>
        <w:t xml:space="preserve">Deaths |  |  |  |  |  |  |  | </w:t>
      </w:r>
    </w:p>
    <w:p>
      <w:r>
        <w:rPr>
          <w:strike/>
          <w:color w:val="9C2020"/>
        </w:rPr>
        <w:t>Crude national rate | 2,041 | 2,148 | 2,190 | 2,423 | 2,249 | 2,426 | 2,678 | 2,428</w:t>
      </w:r>
    </w:p>
    <w:p>
      <w:r>
        <w:rPr>
          <w:strike/>
          <w:color w:val="9C2020"/>
        </w:rPr>
        <w:t>Age-standardised (Brazil 2014) | 2,035 | 2,142 | 2,187 | 2,418 | 2,243 | 2,419 | 2,677 | 2,423</w:t>
      </w:r>
    </w:p>
    <w:p>
      <w:r>
        <w:rPr>
          <w:strike/>
          <w:color w:val="9C2020"/>
        </w:rPr>
        <w:t>Ages 5–34 | 182 | 189 | 184 | 172 | 200 | 218 | 236 | 210</w:t>
      </w:r>
    </w:p>
    <w:p>
      <w:r>
        <w:rPr>
          <w:strike/>
          <w:color w:val="9C2020"/>
        </w:rPr>
        <w:t>Ages 7–34 | 171 | 174 | 179 | 164 | 190 | 208 | 232 | 202</w:t>
      </w:r>
    </w:p>
    <w:p>
      <w:r>
        <w:rPr>
          <w:strike/>
          <w:color w:val="9C2020"/>
        </w:rPr>
        <w:t>Ages 35–59 | 452 | 485 | 515 | 567 | 504 | 524 | 709 | 591</w:t>
      </w:r>
    </w:p>
    <w:p>
      <w:r>
        <w:rPr>
          <w:strike/>
          <w:color w:val="9C2020"/>
        </w:rPr>
        <w:t xml:space="preserve">Rate per 100,000 |  |  |  |  |  |  |  | </w:t>
      </w:r>
    </w:p>
    <w:p>
      <w:r>
        <w:rPr>
          <w:strike/>
          <w:color w:val="9C2020"/>
        </w:rPr>
        <w:t>Crude national rate | 1.012 | 1.056 | 1.067 | 1.172 | 1.079 | 1.154 | 1.265 | 1.138</w:t>
      </w:r>
    </w:p>
    <w:p>
      <w:r>
        <w:rPr>
          <w:strike/>
          <w:color w:val="9C2020"/>
        </w:rPr>
        <w:t>Age-standardised (Brazil 2014) | 1.123 | 1.144 | 1.132 | 1.209 | 1.089 | 1.140 | 1.230 | 1.078</w:t>
      </w:r>
    </w:p>
    <w:p>
      <w:r>
        <w:rPr>
          <w:strike/>
          <w:color w:val="9C2020"/>
        </w:rPr>
        <w:t>Ages 5–34 | 0.182 | 0.190 | 0.186 | 0.175 | 0.204 | 0.224 | 0.244 | 0.219</w:t>
      </w:r>
    </w:p>
    <w:p>
      <w:r>
        <w:rPr>
          <w:strike/>
          <w:color w:val="9C2020"/>
        </w:rPr>
        <w:t>Ages 7–34 | 0.181 | 0.186 | 0.192 | 0.177 | 0.207 | 0.228 | 0.256 | 0.224</w:t>
      </w:r>
    </w:p>
    <w:p>
      <w:r>
        <w:rPr>
          <w:strike/>
          <w:color w:val="9C2020"/>
        </w:rPr>
        <w:t>Ages 35–59 | 0.719 | 0.756 | 0.787 | 0.851 | 0.743 | 0.759 | 1.011 | 0.830</w:t>
      </w:r>
    </w:p>
    <w:p>
      <w:r>
        <w:rPr>
          <w:strike/>
          <w:color w:val="9C2020"/>
        </w:rPr>
        <w:t>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w:t>
      </w:r>
    </w:p>
    <w:p>
      <w:r>
        <w:rPr>
          <w:strike/>
          <w:color w:val="9C2020"/>
        </w:rPr>
        <w:t>Group | Deaths 2014 / 2021 | Rate 2014 / 2021 | Change 2014–2021 (%) | Mean relative variationb (%) | Slope | p</w:t>
      </w:r>
    </w:p>
    <w:p>
      <w:r>
        <w:rPr>
          <w:strike/>
          <w:color w:val="9C2020"/>
        </w:rPr>
        <w:t>Ages 7–17a | 43 / 37 | 0.076 / 0.069 | −9.2 | +12.1 | −0.0005 | 0.852</w:t>
      </w:r>
    </w:p>
    <w:p>
      <w:r>
        <w:rPr>
          <w:strike/>
          <w:color w:val="9C2020"/>
        </w:rPr>
        <w:t>Ages 18–59 | 580 / 756 | 0.478 / 0.587 | +22.9 | +16.5 | 0.0212 | 0.044</w:t>
      </w:r>
    </w:p>
    <w:p>
      <w:r>
        <w:rPr>
          <w:strike/>
          <w:color w:val="9C2020"/>
        </w:rPr>
        <w:t>Ages ≥60 | 1,412 / 1,630 | 5.853 / 5.203 | −11.1 | −1.9 | −0.0712 | 0.135</w:t>
      </w:r>
    </w:p>
    <w:p>
      <w:r>
        <w:rPr>
          <w:strike/>
          <w:color w:val="9C2020"/>
        </w:rPr>
        <w:t>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w:t>
      </w:r>
    </w:p>
    <w:p>
      <w:r>
        <w:rPr>
          <w:strike/>
          <w:color w:val="9C2020"/>
        </w:rPr>
        <w:t>Series | Dispersiona | Quasi-Poisson, annual change (%) | p | p, neg. binomial | 2024 denominatorsb</w:t>
      </w:r>
    </w:p>
    <w:p>
      <w:r>
        <w:rPr>
          <w:strike/>
          <w:color w:val="9C2020"/>
        </w:rPr>
        <w:t>Crude national rate | 5.91 | +2.25 (0.32 to 4.22) | 0.029 | &lt;0.001 | +2.40 (0.022)</w:t>
      </w:r>
    </w:p>
    <w:p>
      <w:r>
        <w:rPr>
          <w:strike/>
          <w:color w:val="9C2020"/>
        </w:rPr>
        <w:t>Age-adjusted, ages ≥7 | 3.11 | +0.00 (−1.12 to 1.14) | 0.994 | 0.104 | +0.29 (0.602)</w:t>
      </w:r>
    </w:p>
    <w:p>
      <w:r>
        <w:rPr>
          <w:strike/>
          <w:color w:val="9C2020"/>
        </w:rPr>
        <w:t>Ages 5–34 | 1.07 | +4.04 (1.20 to 6.96) | 0.013 | &lt;0.001 | +4.22 (0.011)</w:t>
      </w:r>
    </w:p>
    <w:p>
      <w:r>
        <w:rPr>
          <w:strike/>
          <w:color w:val="9C2020"/>
        </w:rPr>
        <w:t>Ages 7–34 | 1.13 | +4.65 (1.64 to 7.75) | 0.009 | &lt;0.001 | +4.83 (0.007)</w:t>
      </w:r>
    </w:p>
    <w:p>
      <w:r>
        <w:rPr>
          <w:strike/>
          <w:color w:val="9C2020"/>
        </w:rPr>
        <w:t>Ages 35–59 | 5.54 | +2.78 (−1.08 to 6.79) | 0.130 | 0.036 | +2.84 (0.123)</w:t>
      </w:r>
    </w:p>
    <w:p>
      <w:r>
        <w:rPr>
          <w:strike/>
          <w:color w:val="9C2020"/>
        </w:rPr>
        <w:t>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p>
      <w:r>
        <w:rPr>
          <w:strike/>
          <w:color w:val="9C2020"/>
        </w:rPr>
        <w:t>Specification | Rate 2014 | Rate 2021 | Change (%) | Slope | 95% CI | p</w:t>
      </w:r>
    </w:p>
    <w:p>
      <w:r>
        <w:rPr>
          <w:strike/>
          <w:color w:val="9C2020"/>
        </w:rPr>
        <w:t xml:space="preserve">Ages ≥7, age-standardised |  |  |  |  |  | </w:t>
      </w:r>
    </w:p>
    <w:p>
      <w:r>
        <w:rPr>
          <w:strike/>
          <w:color w:val="9C2020"/>
        </w:rPr>
        <w:t>Brazil 2014 standard, 2018 projection (primary) | 1.123 | 1.078 | −4.0 | 0.0002 | (−0.0213 to 0.0217) | 0.983</w:t>
      </w:r>
    </w:p>
    <w:p>
      <w:r>
        <w:rPr>
          <w:strike/>
          <w:color w:val="9C2020"/>
        </w:rPr>
        <w:t>Brazil 2014 standard, 2024 projection | 1.128 | 1.112 | −1.5 | 0.0040 | (−0.0176 to 0.0255) | 0.668</w:t>
      </w:r>
    </w:p>
    <w:p>
      <w:r>
        <w:rPr>
          <w:strike/>
          <w:color w:val="9C2020"/>
        </w:rPr>
        <w:t>WHO standard, 2018 projection | 1.095 | 1.049 | −4.2 | −0.0001 | (−0.0207 to 0.0205) | 0.990</w:t>
      </w:r>
    </w:p>
    <w:p>
      <w:r>
        <w:rPr>
          <w:strike/>
          <w:color w:val="9C2020"/>
        </w:rPr>
        <w:t>WHO standard, 2024 projection | 1.102 | 1.080 | −2.0 | 0.0031 | (−0.0176 to 0.0237) | 0.727</w:t>
      </w:r>
    </w:p>
    <w:p>
      <w:r>
        <w:rPr>
          <w:strike/>
          <w:color w:val="9C2020"/>
        </w:rPr>
        <w:t xml:space="preserve">Ages 5–34 |  |  |  |  |  | </w:t>
      </w:r>
    </w:p>
    <w:p>
      <w:r>
        <w:rPr>
          <w:strike/>
          <w:color w:val="9C2020"/>
        </w:rPr>
        <w:t>Crude group rate, 2018 projection (primary) | 0.182 | 0.219 | +20.3 | 0.0080 | (0.0023 to 0.0138) | 0.014</w:t>
      </w:r>
    </w:p>
    <w:p>
      <w:r>
        <w:rPr>
          <w:strike/>
          <w:color w:val="9C2020"/>
        </w:rPr>
        <w:t>Crude group rate, 2024 projection | 0.183 | 0.222 | +21.7 | 0.0085 | (0.0026 to 0.0144) | 0.012</w:t>
      </w:r>
    </w:p>
    <w:p>
      <w:r>
        <w:rPr>
          <w:strike/>
          <w:color w:val="9C2020"/>
        </w:rPr>
        <w:t>WHO standard, 2018 projection | 0.178 | 0.208 | +16.9 | 0.0069 | (0.0015 to 0.0122) | 0.020</w:t>
      </w:r>
    </w:p>
    <w:p>
      <w:r>
        <w:rPr>
          <w:strike/>
          <w:color w:val="9C2020"/>
        </w:rPr>
        <w:t>WHO standard, 2024 projection | 0.179 | 0.213 | +19.1 | 0.0075 | (0.0021 to 0.0130) | 0.015</w:t>
      </w:r>
    </w:p>
    <w:p>
      <w:r>
        <w:rPr>
          <w:strike/>
          <w:color w:val="9C2020"/>
        </w:rPr>
        <w:t>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w:t>
      </w:r>
    </w:p>
    <w:p>
      <w:r>
        <w:rPr>
          <w:strike/>
          <w:color w:val="9C2020"/>
        </w:rPr>
        <w:t>Years compared | Crude rate, start / end | Change | Age composition | Age-specific rates | Composition share (%)a | Ages ≥60 in composition (%)</w:t>
      </w:r>
    </w:p>
    <w:p>
      <w:r>
        <w:rPr>
          <w:strike/>
          <w:color w:val="9C2020"/>
        </w:rPr>
        <w:t>2014–2021 | 1.123 / 1.258 | +0.135 | +0.191 | −0.057 | 142 | 95</w:t>
      </w:r>
    </w:p>
    <w:p>
      <w:r>
        <w:rPr>
          <w:strike/>
          <w:color w:val="9C2020"/>
        </w:rPr>
        <w:t>2014–2019 | 1.123 / 1.276 | +0.154 | +0.138 | +0.016 | 90 | 95</w:t>
      </w:r>
    </w:p>
    <w:p>
      <w:r>
        <w:rPr>
          <w:strike/>
          <w:color w:val="9C2020"/>
        </w:rPr>
        <w:t>2014–2020 | 1.123 / 1.401 | +0.278 | +0.171 | +0.107 | 62 | 94</w:t>
      </w:r>
    </w:p>
    <w:p>
      <w:r>
        <w:rPr>
          <w:strike/>
          <w:color w:val="9C2020"/>
        </w:rPr>
        <w:t>2015–2021 | 1.171 / 1.258 | +0.087 | +0.167 | −0.081 | 193 | 95</w:t>
      </w:r>
    </w:p>
    <w:p>
      <w:r>
        <w:rPr>
          <w:strike/>
          <w:color w:val="9C2020"/>
        </w:rPr>
        <w:t>2016–2021 | 1.184 / 1.258 | +0.073 | +0.140 | −0.067 | 191 | 95</w:t>
      </w:r>
    </w:p>
    <w:p>
      <w:r>
        <w:rPr>
          <w:strike/>
          <w:color w:val="9C2020"/>
        </w:rPr>
        <w:t>2014–2018 | 1.123 / 1.194 | +0.071 | +0.107 | −0.036 | 151 | 94</w:t>
      </w:r>
    </w:p>
    <w:p>
      <w:r>
        <w:rPr>
          <w:strike/>
          <w:color w:val="9C2020"/>
        </w:rPr>
        <w:t>Supplementary Figure S1. Mortality at ages 5–34 years</w:t>
      </w:r>
    </w:p>
    <w:p>
      <w:r>
        <w:rPr>
          <w:strike/>
          <w:color w:val="9C2020"/>
        </w:rPr>
        <w:t>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r>
        <w:rPr>
          <w:color w:val="15653A"/>
        </w:rPr>
        <w:t>All analyses use corrected selection unless labelled historical. Rates and slope units are deaths per 100,000; APC is percent per year. Full-precision CSV results and model warnings are delivered with the code.</w:t>
      </w:r>
    </w:p>
    <w:p>
      <w:r>
        <w:rPr>
          <w:color w:val="15653A"/>
        </w:rPr>
        <w:t>Table S1. Corrected selection by year</w:t>
      </w:r>
    </w:p>
    <w:p>
      <w:r>
        <w:rPr>
          <w:color w:val="15653A"/>
        </w:rPr>
        <w:t>Year | All SIM | J45/J46 | COVID | Duplicates | Invalid dates | Negative age | Valid | ≥7 | 5–34</w:t>
      </w:r>
    </w:p>
    <w:p>
      <w:r>
        <w:rPr>
          <w:color w:val="15653A"/>
        </w:rPr>
        <w:t>2014 | 1227039 | 2129 | 0 | 0 | 2 | 0 | 2127 | 2035 | 182</w:t>
      </w:r>
    </w:p>
    <w:p>
      <w:r>
        <w:rPr>
          <w:color w:val="15653A"/>
        </w:rPr>
        <w:t>2015 | 1264175 | 2232 | 0 | 0 | 1 | 0 | 2231 | 2142 | 189</w:t>
      </w:r>
    </w:p>
    <w:p>
      <w:r>
        <w:rPr>
          <w:color w:val="15653A"/>
        </w:rPr>
        <w:t>2016 | 1309774 | 2249 | 0 | 0 | 2 | 0 | 2247 | 2187 | 184</w:t>
      </w:r>
    </w:p>
    <w:p>
      <w:r>
        <w:rPr>
          <w:color w:val="15653A"/>
        </w:rPr>
        <w:t>2017 | 1312663 | 2477 | 0 | 0 | 1 | 0 | 2476 | 2418 | 172</w:t>
      </w:r>
    </w:p>
    <w:p>
      <w:r>
        <w:rPr>
          <w:color w:val="15653A"/>
        </w:rPr>
        <w:t>2018 | 1316719 | 2307 | 0 | 0 | 4 | 0 | 2303 | 2244 | 200</w:t>
      </w:r>
    </w:p>
    <w:p>
      <w:r>
        <w:rPr>
          <w:color w:val="15653A"/>
        </w:rPr>
        <w:t>2019 | 1349801 | 2488 | 0 | 0 | 2 | 0 | 2486 | 2419 | 218</w:t>
      </w:r>
    </w:p>
    <w:p>
      <w:r>
        <w:rPr>
          <w:color w:val="15653A"/>
        </w:rPr>
        <w:t>2020 | 1556824 | 2735 | 27 | 0 | 3 | 0 | 2705 | 2677 | 236</w:t>
      </w:r>
    </w:p>
    <w:p>
      <w:r>
        <w:rPr>
          <w:color w:val="15653A"/>
        </w:rPr>
        <w:t>2021 | 1832649 | 2488 | 30 | 0 | 0 | 0 | 2458 | 2422 | 209</w:t>
      </w:r>
    </w:p>
    <w:p>
      <w:r>
        <w:rPr>
          <w:color w:val="15653A"/>
        </w:rPr>
        <w:t>COVID = union across five cause lines. Invalid-date and negative-age counts follow COVID and deduplication. Both ambiguous 2018 records are retained. The historical selection, provided separately, removed 56 COVID records, one record under the reduced key and 15 records with invalid dates, leaving 18,583 deaths at continuous age &gt;6.</w:t>
      </w:r>
    </w:p>
    <w:p>
      <w:r>
        <w:rPr>
          <w:color w:val="15653A"/>
        </w:rPr>
        <w:t>Table S2. Annual Aligned crude ≥7</w:t>
      </w:r>
    </w:p>
    <w:p>
      <w:r>
        <w:rPr>
          <w:color w:val="15653A"/>
        </w:rPr>
        <w:t>Year | Deaths | Population | Rate</w:t>
      </w:r>
    </w:p>
    <w:p>
      <w:r>
        <w:rPr>
          <w:color w:val="15653A"/>
        </w:rPr>
        <w:t>2014 | 2035 | 181,252,457 | 1.122743</w:t>
      </w:r>
    </w:p>
    <w:p>
      <w:r>
        <w:rPr>
          <w:color w:val="15653A"/>
        </w:rPr>
        <w:t>2015 | 2142 | 182,968,415 | 1.170694</w:t>
      </w:r>
    </w:p>
    <w:p>
      <w:r>
        <w:rPr>
          <w:color w:val="15653A"/>
        </w:rPr>
        <w:t>2016 | 2187 | 184,647,932 | 1.184416</w:t>
      </w:r>
    </w:p>
    <w:p>
      <w:r>
        <w:rPr>
          <w:color w:val="15653A"/>
        </w:rPr>
        <w:t>2017 | 2418 | 186,273,291 | 1.298093</w:t>
      </w:r>
    </w:p>
    <w:p>
      <w:r>
        <w:rPr>
          <w:color w:val="15653A"/>
        </w:rPr>
        <w:t>2018 | 2244 | 187,895,171 | 1.194283</w:t>
      </w:r>
    </w:p>
    <w:p>
      <w:r>
        <w:rPr>
          <w:color w:val="15653A"/>
        </w:rPr>
        <w:t>2019 | 2419 | 189,505,848 | 1.276478</w:t>
      </w:r>
    </w:p>
    <w:p>
      <w:r>
        <w:rPr>
          <w:color w:val="15653A"/>
        </w:rPr>
        <w:t>2020 | 2677 | 191,083,309 | 1.400960</w:t>
      </w:r>
    </w:p>
    <w:p>
      <w:r>
        <w:rPr>
          <w:color w:val="15653A"/>
        </w:rPr>
        <w:t>2021 | 2422 | 192,673,672 | 1.257048</w:t>
      </w:r>
    </w:p>
    <w:p>
      <w:r>
        <w:rPr>
          <w:color w:val="15653A"/>
        </w:rPr>
        <w:t>Table S2. Annual Brazil 2014 ASR ≥7</w:t>
      </w:r>
    </w:p>
    <w:p>
      <w:r>
        <w:rPr>
          <w:color w:val="15653A"/>
        </w:rPr>
        <w:t>Year | Deaths | Population | Rate</w:t>
      </w:r>
    </w:p>
    <w:p>
      <w:r>
        <w:rPr>
          <w:color w:val="15653A"/>
        </w:rPr>
        <w:t>2014 | 2035 | 181,252,457 | 1.122743</w:t>
      </w:r>
    </w:p>
    <w:p>
      <w:r>
        <w:rPr>
          <w:color w:val="15653A"/>
        </w:rPr>
        <w:t>2015 | 2142 | 182,968,415 | 1.144431</w:t>
      </w:r>
    </w:p>
    <w:p>
      <w:r>
        <w:rPr>
          <w:color w:val="15653A"/>
        </w:rPr>
        <w:t>2016 | 2187 | 184,647,932 | 1.132194</w:t>
      </w:r>
    </w:p>
    <w:p>
      <w:r>
        <w:rPr>
          <w:color w:val="15653A"/>
        </w:rPr>
        <w:t>2017 | 2418 | 186,273,291 | 1.208506</w:t>
      </w:r>
    </w:p>
    <w:p>
      <w:r>
        <w:rPr>
          <w:color w:val="15653A"/>
        </w:rPr>
        <w:t>2018 | 2244 | 187,895,171 | 1.089633</w:t>
      </w:r>
    </w:p>
    <w:p>
      <w:r>
        <w:rPr>
          <w:color w:val="15653A"/>
        </w:rPr>
        <w:t>2019 | 2419 | 189,505,848 | 1.140337</w:t>
      </w:r>
    </w:p>
    <w:p>
      <w:r>
        <w:rPr>
          <w:color w:val="15653A"/>
        </w:rPr>
        <w:t>2020 | 2677 | 191,083,309 | 1.229760</w:t>
      </w:r>
    </w:p>
    <w:p>
      <w:r>
        <w:rPr>
          <w:color w:val="15653A"/>
        </w:rPr>
        <w:t>2021 | 2422 | 192,673,672 | 1.077177</w:t>
      </w:r>
    </w:p>
    <w:p>
      <w:r>
        <w:rPr>
          <w:color w:val="15653A"/>
        </w:rPr>
        <w:t>Table S2. Annual Crude 5–34</w:t>
      </w:r>
    </w:p>
    <w:p>
      <w:r>
        <w:rPr>
          <w:color w:val="15653A"/>
        </w:rPr>
        <w:t>Year | Deaths | Population | Rate</w:t>
      </w:r>
    </w:p>
    <w:p>
      <w:r>
        <w:rPr>
          <w:color w:val="15653A"/>
        </w:rPr>
        <w:t>2014 | 182 | 100,130,699 | 0.181762</w:t>
      </w:r>
    </w:p>
    <w:p>
      <w:r>
        <w:rPr>
          <w:color w:val="15653A"/>
        </w:rPr>
        <w:t>2015 | 189 | 99,610,503 | 0.189739</w:t>
      </w:r>
    </w:p>
    <w:p>
      <w:r>
        <w:rPr>
          <w:color w:val="15653A"/>
        </w:rPr>
        <w:t>2016 | 184 | 99,048,598 | 0.185767</w:t>
      </w:r>
    </w:p>
    <w:p>
      <w:r>
        <w:rPr>
          <w:color w:val="15653A"/>
        </w:rPr>
        <w:t>2017 | 172 | 98,452,312 | 0.174704</w:t>
      </w:r>
    </w:p>
    <w:p>
      <w:r>
        <w:rPr>
          <w:color w:val="15653A"/>
        </w:rPr>
        <w:t>2018 | 200 | 97,819,731 | 0.204458</w:t>
      </w:r>
    </w:p>
    <w:p>
      <w:r>
        <w:rPr>
          <w:color w:val="15653A"/>
        </w:rPr>
        <w:t>2019 | 218 | 97,214,347 | 0.224247</w:t>
      </w:r>
    </w:p>
    <w:p>
      <w:r>
        <w:rPr>
          <w:color w:val="15653A"/>
        </w:rPr>
        <w:t>2020 | 236 | 96,671,200 | 0.244126</w:t>
      </w:r>
    </w:p>
    <w:p>
      <w:r>
        <w:rPr>
          <w:color w:val="15653A"/>
        </w:rPr>
        <w:t>2021 | 209 | 96,070,603 | 0.217548</w:t>
      </w:r>
    </w:p>
    <w:p>
      <w:r>
        <w:rPr>
          <w:color w:val="15653A"/>
        </w:rPr>
        <w:t>Table S2. Annual Brazil 2014 ASR 5–34</w:t>
      </w:r>
    </w:p>
    <w:p>
      <w:r>
        <w:rPr>
          <w:color w:val="15653A"/>
        </w:rPr>
        <w:t>Year | Deaths | Population | Rate</w:t>
      </w:r>
    </w:p>
    <w:p>
      <w:r>
        <w:rPr>
          <w:color w:val="15653A"/>
        </w:rPr>
        <w:t>2014 | 182 | 100,130,699 | 0.181762</w:t>
      </w:r>
    </w:p>
    <w:p>
      <w:r>
        <w:rPr>
          <w:color w:val="15653A"/>
        </w:rPr>
        <w:t>2015 | 189 | 99,610,503 | 0.189060</w:t>
      </w:r>
    </w:p>
    <w:p>
      <w:r>
        <w:rPr>
          <w:color w:val="15653A"/>
        </w:rPr>
        <w:t>2016 | 184 | 99,048,598 | 0.184945</w:t>
      </w:r>
    </w:p>
    <w:p>
      <w:r>
        <w:rPr>
          <w:color w:val="15653A"/>
        </w:rPr>
        <w:t>2017 | 172 | 98,452,312 | 0.174255</w:t>
      </w:r>
    </w:p>
    <w:p>
      <w:r>
        <w:rPr>
          <w:color w:val="15653A"/>
        </w:rPr>
        <w:t>2018 | 200 | 97,819,731 | 0.203444</w:t>
      </w:r>
    </w:p>
    <w:p>
      <w:r>
        <w:rPr>
          <w:color w:val="15653A"/>
        </w:rPr>
        <w:t>2019 | 218 | 97,214,347 | 0.222528</w:t>
      </w:r>
    </w:p>
    <w:p>
      <w:r>
        <w:rPr>
          <w:color w:val="15653A"/>
        </w:rPr>
        <w:t>2020 | 236 | 96,671,200 | 0.241039</w:t>
      </w:r>
    </w:p>
    <w:p>
      <w:r>
        <w:rPr>
          <w:color w:val="15653A"/>
        </w:rPr>
        <w:t>2021 | 209 | 96,070,603 | 0.214535</w:t>
      </w:r>
    </w:p>
    <w:p>
      <w:r>
        <w:rPr>
          <w:color w:val="15653A"/>
        </w:rPr>
        <w:t>Table S2. Annual Crude 7–34</w:t>
      </w:r>
    </w:p>
    <w:p>
      <w:r>
        <w:rPr>
          <w:color w:val="15653A"/>
        </w:rPr>
        <w:t>Year | Deaths | Population | Rate</w:t>
      </w:r>
    </w:p>
    <w:p>
      <w:r>
        <w:rPr>
          <w:color w:val="15653A"/>
        </w:rPr>
        <w:t>2014 | 171 | 94,235,685 | 0.181460</w:t>
      </w:r>
    </w:p>
    <w:p>
      <w:r>
        <w:rPr>
          <w:color w:val="15653A"/>
        </w:rPr>
        <w:t>2015 | 174 | 93,780,394 | 0.185540</w:t>
      </w:r>
    </w:p>
    <w:p>
      <w:r>
        <w:rPr>
          <w:color w:val="15653A"/>
        </w:rPr>
        <w:t>2016 | 179 | 93,255,055 | 0.191947</w:t>
      </w:r>
    </w:p>
    <w:p>
      <w:r>
        <w:rPr>
          <w:color w:val="15653A"/>
        </w:rPr>
        <w:t>2017 | 164 | 92,641,638 | 0.177026</w:t>
      </w:r>
    </w:p>
    <w:p>
      <w:r>
        <w:rPr>
          <w:color w:val="15653A"/>
        </w:rPr>
        <w:t>2018 | 190 | 92,007,559 | 0.206505</w:t>
      </w:r>
    </w:p>
    <w:p>
      <w:r>
        <w:rPr>
          <w:color w:val="15653A"/>
        </w:rPr>
        <w:t>2019 | 208 | 91,371,402 | 0.227642</w:t>
      </w:r>
    </w:p>
    <w:p>
      <w:r>
        <w:rPr>
          <w:color w:val="15653A"/>
        </w:rPr>
        <w:t>2020 | 232 | 90,729,128 | 0.255706</w:t>
      </w:r>
    </w:p>
    <w:p>
      <w:r>
        <w:rPr>
          <w:color w:val="15653A"/>
        </w:rPr>
        <w:t>2021 | 201 | 90,129,917 | 0.223011</w:t>
      </w:r>
    </w:p>
    <w:p>
      <w:r>
        <w:rPr>
          <w:color w:val="15653A"/>
        </w:rPr>
        <w:t>Table S2. Annual Crude 35–59</w:t>
      </w:r>
    </w:p>
    <w:p>
      <w:r>
        <w:rPr>
          <w:color w:val="15653A"/>
        </w:rPr>
        <w:t>Year | Deaths | Population | Rate</w:t>
      </w:r>
    </w:p>
    <w:p>
      <w:r>
        <w:rPr>
          <w:color w:val="15653A"/>
        </w:rPr>
        <w:t>2014 | 452 | 62,893,940 | 0.718670</w:t>
      </w:r>
    </w:p>
    <w:p>
      <w:r>
        <w:rPr>
          <w:color w:val="15653A"/>
        </w:rPr>
        <w:t>2015 | 485 | 64,149,669 | 0.756044</w:t>
      </w:r>
    </w:p>
    <w:p>
      <w:r>
        <w:rPr>
          <w:color w:val="15653A"/>
        </w:rPr>
        <w:t>2016 | 515 | 65,398,428 | 0.787481</w:t>
      </w:r>
    </w:p>
    <w:p>
      <w:r>
        <w:rPr>
          <w:color w:val="15653A"/>
        </w:rPr>
        <w:t>2017 | 567 | 66,640,781 | 0.850830</w:t>
      </w:r>
    </w:p>
    <w:p>
      <w:r>
        <w:rPr>
          <w:color w:val="15653A"/>
        </w:rPr>
        <w:t>2018 | 504 | 67,862,310 | 0.742680</w:t>
      </w:r>
    </w:p>
    <w:p>
      <w:r>
        <w:rPr>
          <w:color w:val="15653A"/>
        </w:rPr>
        <w:t>2019 | 524 | 69,039,371 | 0.758987</w:t>
      </w:r>
    </w:p>
    <w:p>
      <w:r>
        <w:rPr>
          <w:color w:val="15653A"/>
        </w:rPr>
        <w:t>2020 | 709 | 70,157,104 | 1.010589</w:t>
      </w:r>
    </w:p>
    <w:p>
      <w:r>
        <w:rPr>
          <w:color w:val="15653A"/>
        </w:rPr>
        <w:t>2021 | 591 | 71,213,520 | 0.829899</w:t>
      </w:r>
    </w:p>
    <w:p>
      <w:r>
        <w:rPr>
          <w:color w:val="15653A"/>
        </w:rPr>
        <w:t>Table S2. Annual Crude ≥60</w:t>
      </w:r>
    </w:p>
    <w:p>
      <w:r>
        <w:rPr>
          <w:color w:val="15653A"/>
        </w:rPr>
        <w:t>Year | Deaths | Population | Rate</w:t>
      </w:r>
    </w:p>
    <w:p>
      <w:r>
        <w:rPr>
          <w:color w:val="15653A"/>
        </w:rPr>
        <w:t>2014 | 1412 | 24,122,832 | 5.853376</w:t>
      </w:r>
    </w:p>
    <w:p>
      <w:r>
        <w:rPr>
          <w:color w:val="15653A"/>
        </w:rPr>
        <w:t>2015 | 1483 | 25,038,352 | 5.922914</w:t>
      </w:r>
    </w:p>
    <w:p>
      <w:r>
        <w:rPr>
          <w:color w:val="15653A"/>
        </w:rPr>
        <w:t>2016 | 1493 | 25,994,449 | 5.743534</w:t>
      </w:r>
    </w:p>
    <w:p>
      <w:r>
        <w:rPr>
          <w:color w:val="15653A"/>
        </w:rPr>
        <w:t>2017 | 1687 | 26,990,872 | 6.250261</w:t>
      </w:r>
    </w:p>
    <w:p>
      <w:r>
        <w:rPr>
          <w:color w:val="15653A"/>
        </w:rPr>
        <w:t>2018 | 1550 | 28,025,302 | 5.530716</w:t>
      </w:r>
    </w:p>
    <w:p>
      <w:r>
        <w:rPr>
          <w:color w:val="15653A"/>
        </w:rPr>
        <w:t>2019 | 1687 | 29,095,075 | 5.798232</w:t>
      </w:r>
    </w:p>
    <w:p>
      <w:r>
        <w:rPr>
          <w:color w:val="15653A"/>
        </w:rPr>
        <w:t>2020 | 1736 | 30,197,077 | 5.748901</w:t>
      </w:r>
    </w:p>
    <w:p>
      <w:r>
        <w:rPr>
          <w:color w:val="15653A"/>
        </w:rPr>
        <w:t>2021 | 1630 | 31,330,235 | 5.202642</w:t>
      </w:r>
    </w:p>
    <w:p>
      <w:r>
        <w:rPr>
          <w:color w:val="15653A"/>
        </w:rPr>
        <w:t>Table S3. Historical age-group reproduction</w:t>
      </w:r>
    </w:p>
    <w:p>
      <w:r>
        <w:rPr>
          <w:color w:val="15653A"/>
        </w:rPr>
        <w:t>series | n_2014 | n_2021 | rate_2014 | rate_2021 | pct_change_2014_2021 | slope | p_value</w:t>
      </w:r>
    </w:p>
    <w:p>
      <w:r>
        <w:rPr>
          <w:color w:val="15653A"/>
        </w:rPr>
        <w:t>legacy_lt18 | 43 | 37 | 0.07649 | 0.06945 | -9.19335 | -0.00047 | 0.85236</w:t>
      </w:r>
    </w:p>
    <w:p>
      <w:r>
        <w:rPr>
          <w:color w:val="15653A"/>
        </w:rPr>
        <w:t>legacy_18_59 | 580 | 756 | 0.47786 | 0.58735 | 22.91210 | 0.02125 | 0.04388</w:t>
      </w:r>
    </w:p>
    <w:p>
      <w:r>
        <w:rPr>
          <w:color w:val="15653A"/>
        </w:rPr>
        <w:t>legacy_gte60 | 1412 | 1630 | 5.85338 | 5.20264 | -11.11724 | -0.07124 | 0.13500</w:t>
      </w:r>
    </w:p>
    <w:p>
      <w:r>
        <w:rPr>
          <w:color w:val="15653A"/>
        </w:rPr>
        <w:t>Historical &lt;18 numerator is floor ages 7–17 and denominator ages 0–17. These rows reproduce the historical construction and are not corrected primary domains.</w:t>
      </w:r>
    </w:p>
    <w:p>
      <w:r>
        <w:rPr>
          <w:color w:val="15653A"/>
        </w:rPr>
        <w:t>Table S4. Count models, IBGE 2018</w:t>
      </w:r>
    </w:p>
    <w:p>
      <w:r>
        <w:rPr>
          <w:color w:val="15653A"/>
        </w:rPr>
        <w:t>Series | Family | APC | 95% CI | p | Dispersion | Theta | Status</w:t>
      </w:r>
    </w:p>
    <w:p>
      <w:r>
        <w:rPr>
          <w:color w:val="15653A"/>
        </w:rPr>
        <w:t>Crude ≥7 | Poisson | 2.190 | 1.549, 2.835 | &lt;0.001 | 6.04 |  | ok</w:t>
      </w:r>
    </w:p>
    <w:p>
      <w:r>
        <w:rPr>
          <w:color w:val="15653A"/>
        </w:rPr>
        <w:t>Crude ≥7 | Quasi-Poisson | 2.190 | 0.236, 4.183 | 0.033 | 6.04 |  | ok</w:t>
      </w:r>
    </w:p>
    <w:p>
      <w:r>
        <w:rPr>
          <w:color w:val="15653A"/>
        </w:rPr>
        <w:t>Crude ≥7 | Negative binomial | 2.221 | 0.886, 3.574 | 0.001 | 1.33 | 686.8 | ok</w:t>
      </w:r>
    </w:p>
    <w:p>
      <w:r>
        <w:rPr>
          <w:color w:val="15653A"/>
        </w:rPr>
        <w:t>Crude 5–34 | Poisson | 3.998 | 1.787, 6.258 | &lt;0.001 | 1.09 |  | ok</w:t>
      </w:r>
    </w:p>
    <w:p>
      <w:r>
        <w:rPr>
          <w:color w:val="15653A"/>
        </w:rPr>
        <w:t>Crude 5–34 | Quasi-Poisson | 3.998 | 1.130, 6.949 | 0.014 | 1.09 |  | ok</w:t>
      </w:r>
    </w:p>
    <w:p>
      <w:r>
        <w:rPr>
          <w:color w:val="15653A"/>
        </w:rPr>
        <w:t>Crude 5–34 | Negative binomial | 3.998 | 1.787, 6.258 | &lt;0.001 | 1.09 | 3280138.3 | warning</w:t>
      </w:r>
    </w:p>
    <w:p>
      <w:r>
        <w:rPr>
          <w:color w:val="15653A"/>
        </w:rPr>
        <w:t>Crude 7–34 | Poisson | 4.604 | 2.327, 6.931 | &lt;0.001 | 1.15 |  | ok</w:t>
      </w:r>
    </w:p>
    <w:p>
      <w:r>
        <w:rPr>
          <w:color w:val="15653A"/>
        </w:rPr>
        <w:t>Crude 7–34 | Quasi-Poisson | 4.604 | 1.561, 7.738 | 0.010 | 1.15 |  | ok</w:t>
      </w:r>
    </w:p>
    <w:p>
      <w:r>
        <w:rPr>
          <w:color w:val="15653A"/>
        </w:rPr>
        <w:t>Crude 7–34 | Negative binomial | 4.604 | 2.327, 6.931 | &lt;0.001 | 1.15 | 2427388.1 | warning</w:t>
      </w:r>
    </w:p>
    <w:p>
      <w:r>
        <w:rPr>
          <w:color w:val="15653A"/>
        </w:rPr>
        <w:t>Crude 35–59 | Poisson | 2.779 | 1.448, 4.126 | &lt;0.001 | 5.54 |  | ok</w:t>
      </w:r>
    </w:p>
    <w:p>
      <w:r>
        <w:rPr>
          <w:color w:val="15653A"/>
        </w:rPr>
        <w:t>Crude 35–59 | Quasi-Poisson | 2.779 | -1.082, 6.789 | 0.130 | 5.54 |  | ok</w:t>
      </w:r>
    </w:p>
    <w:p>
      <w:r>
        <w:rPr>
          <w:color w:val="15653A"/>
        </w:rPr>
        <w:t>Crude 35–59 | Negative binomial | 2.783 | 0.181, 5.453 | 0.036 | 1.34 | 187.9 | ok</w:t>
      </w:r>
    </w:p>
    <w:p>
      <w:r>
        <w:rPr>
          <w:color w:val="15653A"/>
        </w:rPr>
        <w:t>Crude ≥60 | Poisson | -1.300 | -2.047, -0.546 | &lt;0.001 | 3.55 |  | ok</w:t>
      </w:r>
    </w:p>
    <w:p>
      <w:r>
        <w:rPr>
          <w:color w:val="15653A"/>
        </w:rPr>
        <w:t>Crude ≥60 | Quasi-Poisson | -1.300 | -3.049, 0.482 | 0.124 | 3.55 |  | ok</w:t>
      </w:r>
    </w:p>
    <w:p>
      <w:r>
        <w:rPr>
          <w:color w:val="15653A"/>
        </w:rPr>
        <w:t>Crude ≥60 | Negative binomial | -1.271 | -2.480, -0.046 | 0.042 | 1.34 | 972.6 | ok</w:t>
      </w:r>
    </w:p>
    <w:p>
      <w:r>
        <w:rPr>
          <w:color w:val="15653A"/>
        </w:rPr>
        <w:t>Age-adjusted ≥7 | Poisson | 0.001 | -0.626, 0.632 | 0.998 | 3.11 |  | ok</w:t>
      </w:r>
    </w:p>
    <w:p>
      <w:r>
        <w:rPr>
          <w:color w:val="15653A"/>
        </w:rPr>
        <w:t>Age-adjusted ≥7 | Quasi-Poisson | 0.001 | -1.125, 1.140 | 0.999 | 3.11 |  | ok</w:t>
      </w:r>
    </w:p>
    <w:p>
      <w:r>
        <w:rPr>
          <w:color w:val="15653A"/>
        </w:rPr>
        <w:t>Age-adjusted ≥7 | Negative binomial | 0.926 | -0.197, 2.061 | 0.106 | 1.30 | 147.8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S4. Count models, IBGE 2024</w:t>
      </w:r>
    </w:p>
    <w:p>
      <w:r>
        <w:rPr>
          <w:color w:val="15653A"/>
        </w:rPr>
        <w:t>Series | Family | APC | 95% CI | p | Dispersion | Theta | Status</w:t>
      </w:r>
    </w:p>
    <w:p>
      <w:r>
        <w:rPr>
          <w:color w:val="15653A"/>
        </w:rPr>
        <w:t>Crude ≥7 | Poisson | 2.312 | 1.670, 2.958 | &lt;0.001 | 5.98 |  | ok</w:t>
      </w:r>
    </w:p>
    <w:p>
      <w:r>
        <w:rPr>
          <w:color w:val="15653A"/>
        </w:rPr>
        <w:t>Crude ≥7 | Quasi-Poisson | 2.312 | 0.366, 4.297 | 0.027 | 5.98 |  | ok</w:t>
      </w:r>
    </w:p>
    <w:p>
      <w:r>
        <w:rPr>
          <w:color w:val="15653A"/>
        </w:rPr>
        <w:t>Crude ≥7 | Negative binomial | 2.342 | 1.012, 3.690 | &lt;0.001 | 1.33 | 695.6 | ok</w:t>
      </w:r>
    </w:p>
    <w:p>
      <w:r>
        <w:rPr>
          <w:color w:val="15653A"/>
        </w:rPr>
        <w:t>Crude 5–34 | Poisson | 4.178 | 1.964, 6.441 | &lt;0.001 | 1.09 |  | ok</w:t>
      </w:r>
    </w:p>
    <w:p>
      <w:r>
        <w:rPr>
          <w:color w:val="15653A"/>
        </w:rPr>
        <w:t>Crude 5–34 | Quasi-Poisson | 4.178 | 1.303, 7.135 | 0.012 | 1.09 |  | ok</w:t>
      </w:r>
    </w:p>
    <w:p>
      <w:r>
        <w:rPr>
          <w:color w:val="15653A"/>
        </w:rPr>
        <w:t>Crude 5–34 | Negative binomial | 4.178 | 1.964, 6.441 | &lt;0.001 | 1.09 | 3258238.9 | warning</w:t>
      </w:r>
    </w:p>
    <w:p>
      <w:r>
        <w:rPr>
          <w:color w:val="15653A"/>
        </w:rPr>
        <w:t>Crude 7–34 | Poisson | 4.791 | 2.511, 7.122 | &lt;0.001 | 1.16 |  | ok</w:t>
      </w:r>
    </w:p>
    <w:p>
      <w:r>
        <w:rPr>
          <w:color w:val="15653A"/>
        </w:rPr>
        <w:t>Crude 7–34 | Quasi-Poisson | 4.791 | 1.742, 7.931 | 0.008 | 1.16 |  | ok</w:t>
      </w:r>
    </w:p>
    <w:p>
      <w:r>
        <w:rPr>
          <w:color w:val="15653A"/>
        </w:rPr>
        <w:t>Crude 7–34 | Negative binomial | 4.791 | 2.511, 7.122 | &lt;0.001 | 1.16 | 2402052.5 | warning</w:t>
      </w:r>
    </w:p>
    <w:p>
      <w:r>
        <w:rPr>
          <w:color w:val="15653A"/>
        </w:rPr>
        <w:t>Crude 35–59 | Poisson | 2.843 | 1.511, 4.192 | &lt;0.001 | 5.52 |  | ok</w:t>
      </w:r>
    </w:p>
    <w:p>
      <w:r>
        <w:rPr>
          <w:color w:val="15653A"/>
        </w:rPr>
        <w:t>Crude 35–59 | Quasi-Poisson | 2.843 | -1.013, 6.849 | 0.123 | 5.52 |  | ok</w:t>
      </w:r>
    </w:p>
    <w:p>
      <w:r>
        <w:rPr>
          <w:color w:val="15653A"/>
        </w:rPr>
        <w:t>Crude 35–59 | Negative binomial | 2.844 | 0.246, 5.510 | 0.032 | 1.34 | 189.0 | ok</w:t>
      </w:r>
    </w:p>
    <w:p>
      <w:r>
        <w:rPr>
          <w:color w:val="15653A"/>
        </w:rPr>
        <w:t>Crude ≥60 | Poisson | -1.210 | -1.959, -0.455 | 0.002 | 3.33 |  | ok</w:t>
      </w:r>
    </w:p>
    <w:p>
      <w:r>
        <w:rPr>
          <w:color w:val="15653A"/>
        </w:rPr>
        <w:t>Crude ≥60 | Quasi-Poisson | -1.210 | -2.907, 0.517 | 0.136 | 3.33 |  | ok</w:t>
      </w:r>
    </w:p>
    <w:p>
      <w:r>
        <w:rPr>
          <w:color w:val="15653A"/>
        </w:rPr>
        <w:t>Crude ≥60 | Negative binomial | -1.186 | -2.359, 0.001 | 0.050 | 1.34 | 1080.7 | ok</w:t>
      </w:r>
    </w:p>
    <w:p>
      <w:r>
        <w:rPr>
          <w:color w:val="15653A"/>
        </w:rPr>
        <w:t>Age-adjusted ≥7 | Poisson | 0.290 | -0.340, 0.924 | 0.368 | 3.02 |  | ok</w:t>
      </w:r>
    </w:p>
    <w:p>
      <w:r>
        <w:rPr>
          <w:color w:val="15653A"/>
        </w:rPr>
        <w:t>Age-adjusted ≥7 | Quasi-Poisson | 0.290 | -0.823, 1.415 | 0.606 | 3.02 |  | ok</w:t>
      </w:r>
    </w:p>
    <w:p>
      <w:r>
        <w:rPr>
          <w:color w:val="15653A"/>
        </w:rPr>
        <w:t>Age-adjusted ≥7 | Negative binomial | 1.137 | 0.031, 2.256 | 0.044 | 1.31 | 156.0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S5. Standards and domains, IBGE 2018</w:t>
      </w:r>
    </w:p>
    <w:p>
      <w:r>
        <w:rPr>
          <w:color w:val="15653A"/>
        </w:rPr>
        <w:t>Series | 2014 | 2021 | Δ rate | Δ % | Slope (95% CI) | p</w:t>
      </w:r>
    </w:p>
    <w:p>
      <w:r>
        <w:rPr>
          <w:color w:val="15653A"/>
        </w:rPr>
        <w:t>Brazil ASR 35–59 | 0.71867 | 0.82485 | +0.10618 | +14.77 | 0.02134 (-0.00957, 0.05225) | 0.142</w:t>
      </w:r>
    </w:p>
    <w:p>
      <w:r>
        <w:rPr>
          <w:color w:val="15653A"/>
        </w:rPr>
        <w:t>Brazil ASR 5–34 | 0.18176 | 0.21453 | +0.03277 | +18.03 | 0.00751 (0.00181, 0.01322) | 0.018</w:t>
      </w:r>
    </w:p>
    <w:p>
      <w:r>
        <w:rPr>
          <w:color w:val="15653A"/>
        </w:rPr>
        <w:t>Brazil ASR 7–34 | 0.18146 | 0.21955 | +0.03809 | +20.99 | 0.00875 (0.00260, 0.01490) | 0.013</w:t>
      </w:r>
    </w:p>
    <w:p>
      <w:r>
        <w:rPr>
          <w:color w:val="15653A"/>
        </w:rPr>
        <w:t>Brazil ASR ≥60 | 5.85338 | 5.08539 | -0.76799 | -13.12 | -0.08864 (-0.18714, 0.00986) | 0.070</w:t>
      </w:r>
    </w:p>
    <w:p>
      <w:r>
        <w:rPr>
          <w:color w:val="15653A"/>
        </w:rPr>
        <w:t>Brazil ASR ≥7 | 1.12274 | 1.07718 | -0.04557 | -4.06 | 0.00016 (-0.02139, 0.02170) | 0.986</w:t>
      </w:r>
    </w:p>
    <w:p>
      <w:r>
        <w:rPr>
          <w:color w:val="15653A"/>
        </w:rPr>
        <w:t>WHO ASR 35–59 | 0.71921 | 0.82668 | +0.10747 | +14.94 | 0.02162 (-0.00936, 0.05260) | 0.139</w:t>
      </w:r>
    </w:p>
    <w:p>
      <w:r>
        <w:rPr>
          <w:color w:val="15653A"/>
        </w:rPr>
        <w:t>WHO ASR 5–34 | 0.17788 | 0.20702 | +0.02914 | +16.38 | 0.00678 (0.00140, 0.01216) | 0.022</w:t>
      </w:r>
    </w:p>
    <w:p>
      <w:r>
        <w:rPr>
          <w:color w:val="15653A"/>
        </w:rPr>
        <w:t>WHO ASR 7–34 | 0.17730 | 0.21246 | +0.03516 | +19.83 | 0.00819 (0.00235, 0.01403) | 0.014</w:t>
      </w:r>
    </w:p>
    <w:p>
      <w:r>
        <w:rPr>
          <w:color w:val="15653A"/>
        </w:rPr>
        <w:t>WHO ASR ≥60 | 5.55943 | 4.81550 | -0.74393 | -13.38 | -0.08637 (-0.17725, 0.00451) | 0.059</w:t>
      </w:r>
    </w:p>
    <w:p>
      <w:r>
        <w:rPr>
          <w:color w:val="15653A"/>
        </w:rPr>
        <w:t>WHO ASR ≥7 | 1.09451 | 1.04795 | -0.04656 | -4.25 | -0.00015 (-0.02077, 0.02047) | 0.986</w:t>
      </w:r>
    </w:p>
    <w:p>
      <w:r>
        <w:rPr>
          <w:color w:val="15653A"/>
        </w:rPr>
        <w:t>Table S5. Standards and domains, IBGE 2024</w:t>
      </w:r>
    </w:p>
    <w:p>
      <w:r>
        <w:rPr>
          <w:color w:val="15653A"/>
        </w:rPr>
        <w:t>Series | 2014 | 2021 | Δ rate | Δ % | Slope (95% CI) | p</w:t>
      </w:r>
    </w:p>
    <w:p>
      <w:r>
        <w:rPr>
          <w:color w:val="15653A"/>
        </w:rPr>
        <w:t>Brazil ASR 35–59 | 0.72112 | 0.83140 | +0.11028 | +15.29 | 0.02192 (-0.00907, 0.05291) | 0.134</w:t>
      </w:r>
    </w:p>
    <w:p>
      <w:r>
        <w:rPr>
          <w:color w:val="15653A"/>
        </w:rPr>
        <w:t>Brazil ASR 5–34 | 0.18281 | 0.21972 | +0.03691 | +20.19 | 0.00819 (0.00232, 0.01406) | 0.014</w:t>
      </w:r>
    </w:p>
    <w:p>
      <w:r>
        <w:rPr>
          <w:color w:val="15653A"/>
        </w:rPr>
        <w:t>Brazil ASR 7–34 | 0.18258 | 0.22505 | +0.04247 | +23.26 | 0.00947 (0.00313, 0.01581) | 0.011</w:t>
      </w:r>
    </w:p>
    <w:p>
      <w:r>
        <w:rPr>
          <w:color w:val="15653A"/>
        </w:rPr>
        <w:t>Brazil ASR ≥60 | 5.88365 | 5.30051 | -0.58314 | -9.91 | -0.06471 (-0.16221, 0.03278) | 0.155</w:t>
      </w:r>
    </w:p>
    <w:p>
      <w:r>
        <w:rPr>
          <w:color w:val="15653A"/>
        </w:rPr>
        <w:t>Brazil ASR ≥7 | 1.12844 | 1.11123 | -0.01722 | -1.53 | 0.00393 (-0.01762, 0.02547) | 0.671</w:t>
      </w:r>
    </w:p>
    <w:p>
      <w:r>
        <w:rPr>
          <w:color w:val="15653A"/>
        </w:rPr>
        <w:t>WHO ASR 35–59 | 0.72095 | 0.83282 | +0.11187 | +15.52 | 0.02223 (-0.00879, 0.05326) | 0.130</w:t>
      </w:r>
    </w:p>
    <w:p>
      <w:r>
        <w:rPr>
          <w:color w:val="15653A"/>
        </w:rPr>
        <w:t>WHO ASR 5–34 | 0.17884 | 0.21201 | +0.03317 | +18.55 | 0.00744 (0.00193, 0.01294) | 0.016</w:t>
      </w:r>
    </w:p>
    <w:p>
      <w:r>
        <w:rPr>
          <w:color w:val="15653A"/>
        </w:rPr>
        <w:t>WHO ASR 7–34 | 0.17835 | 0.21778 | +0.03943 | +22.11 | 0.00889 (0.00290, 0.01487) | 0.011</w:t>
      </w:r>
    </w:p>
    <w:p>
      <w:r>
        <w:rPr>
          <w:color w:val="15653A"/>
        </w:rPr>
        <w:t>WHO ASR ≥60 | 5.60811 | 5.01048 | -0.59763 | -10.66 | -0.06712 (-0.15761, 0.02337) | 0.119</w:t>
      </w:r>
    </w:p>
    <w:p>
      <w:r>
        <w:rPr>
          <w:color w:val="15653A"/>
        </w:rPr>
        <w:t>WHO ASR ≥7 | 1.10228 | 1.07940 | -0.02288 | -2.08 | 0.00305 (-0.01761, 0.02370) | 0.731</w:t>
      </w:r>
    </w:p>
    <w:p>
      <w:r>
        <w:rPr>
          <w:color w:val="15653A"/>
        </w:rPr>
        <w:t>Table S6. Kitagawa, IBGE 2018</w:t>
      </w:r>
    </w:p>
    <w:p>
      <w:r>
        <w:rPr>
          <w:color w:val="15653A"/>
        </w:rPr>
        <w:t>Endpoints | Crude start | Crude end | Net Δ | Composition | Rate term | Composition %</w:t>
      </w:r>
    </w:p>
    <w:p>
      <w:r>
        <w:rPr>
          <w:color w:val="15653A"/>
        </w:rPr>
        <w:t>2014–2021 | 1.122743 | 1.257048 | +0.134304 | +0.191434 | -0.057129 | 142.54</w:t>
      </w:r>
    </w:p>
    <w:p>
      <w:r>
        <w:rPr>
          <w:color w:val="15653A"/>
        </w:rPr>
        <w:t>2014–2019 | 1.122743 | 1.276478 | +0.153734 | +0.138122 | +0.015612 | 89.84</w:t>
      </w:r>
    </w:p>
    <w:p>
      <w:r>
        <w:rPr>
          <w:color w:val="15653A"/>
        </w:rPr>
        <w:t>2014–2020 | 1.122743 | 1.400960 | +0.278216 | +0.171157 | +0.107059 | 61.52</w:t>
      </w:r>
    </w:p>
    <w:p>
      <w:r>
        <w:rPr>
          <w:color w:val="15653A"/>
        </w:rPr>
        <w:t>2015–2021 | 1.170694 | 1.257048 | +0.086354 | +0.167391 | -0.081037 | 193.84</w:t>
      </w:r>
    </w:p>
    <w:p>
      <w:r>
        <w:rPr>
          <w:color w:val="15653A"/>
        </w:rPr>
        <w:t>2016–2021 | 1.184416 | 1.257048 | +0.072632 | +0.139935 | -0.067304 | 192.66</w:t>
      </w:r>
    </w:p>
    <w:p>
      <w:r>
        <w:rPr>
          <w:color w:val="15653A"/>
        </w:rPr>
        <w:t>2014–2018 | 1.122743 | 1.194283 | +0.071540 | +0.107366 | -0.035827 | 150.08</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S6. Kitagawa, IBGE 2024</w:t>
      </w:r>
    </w:p>
    <w:p>
      <w:r>
        <w:rPr>
          <w:color w:val="15653A"/>
        </w:rPr>
        <w:t>Endpoints | Crude start | Crude end | Net Δ | Composition | Rate term | Composition %</w:t>
      </w:r>
    </w:p>
    <w:p>
      <w:r>
        <w:rPr>
          <w:color w:val="15653A"/>
        </w:rPr>
        <w:t>2014–2021 | 1.128443 | 1.274118 | +0.145675 | +0.170443 | -0.024768 | 117.00</w:t>
      </w:r>
    </w:p>
    <w:p>
      <w:r>
        <w:rPr>
          <w:color w:val="15653A"/>
        </w:rPr>
        <w:t>2014–2019 | 1.128443 | 1.290082 | +0.161639 | +0.130868 | +0.030771 | 80.96</w:t>
      </w:r>
    </w:p>
    <w:p>
      <w:r>
        <w:rPr>
          <w:color w:val="15653A"/>
        </w:rPr>
        <w:t>2014–2020 | 1.128443 | 1.417122 | +0.288679 | +0.158796 | +0.129883 | 55.01</w:t>
      </w:r>
    </w:p>
    <w:p>
      <w:r>
        <w:rPr>
          <w:color w:val="15653A"/>
        </w:rPr>
        <w:t>2015–2021 | 1.177572 | 1.274118 | +0.096546 | +0.148180 | -0.051634 | 153.48</w:t>
      </w:r>
    </w:p>
    <w:p>
      <w:r>
        <w:rPr>
          <w:color w:val="15653A"/>
        </w:rPr>
        <w:t>2016–2021 | 1.192574 | 1.274118 | +0.081544 | +0.121796 | -0.040252 | 149.36</w:t>
      </w:r>
    </w:p>
    <w:p>
      <w:r>
        <w:rPr>
          <w:color w:val="15653A"/>
        </w:rPr>
        <w:t>2014–2018 | 1.128443 | 1.205894 | +0.077451 | +0.101345 | -0.023893 | 130.85</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S7. Pandemic-period influence, age_5_34, IBGE 2018</w:t>
      </w:r>
    </w:p>
    <w:p>
      <w:r>
        <w:rPr>
          <w:color w:val="15653A"/>
        </w:rPr>
        <w:t>Scenario | Series | Years | Δ % | Slope (95% CI) | p</w:t>
      </w:r>
    </w:p>
    <w:p>
      <w:r>
        <w:rPr>
          <w:color w:val="15653A"/>
        </w:rPr>
        <w:t>Principal | Brazil ASR 5–34 | 8 | +18.03 | 0.00751 (0.00181, 0.01322) | 0.018</w:t>
      </w:r>
    </w:p>
    <w:p>
      <w:r>
        <w:rPr>
          <w:color w:val="15653A"/>
        </w:rPr>
        <w:t>Principal | Crude 5–34 | 8 | +19.69 | 0.00795 (0.00212, 0.01377) | 0.016</w:t>
      </w:r>
    </w:p>
    <w:p>
      <w:r>
        <w:rPr>
          <w:color w:val="15653A"/>
        </w:rPr>
        <w:t>Principal | WHO ASR 5–34 | 8 | +16.38 | 0.00678 (0.00140, 0.01216) | 0.022</w:t>
      </w:r>
    </w:p>
    <w:p>
      <w:r>
        <w:rPr>
          <w:color w:val="15653A"/>
        </w:rPr>
        <w:t>Without 2020 | Brazil ASR 5–34 | 7 | +18.03 | 0.00581 (0.00040, 0.01122) | 0.040</w:t>
      </w:r>
    </w:p>
    <w:p>
      <w:r>
        <w:rPr>
          <w:color w:val="15653A"/>
        </w:rPr>
        <w:t>Without 2020 | Crude 5–34 | 7 | +19.69 | 0.00619 (0.00070, 0.01167) | 0.034</w:t>
      </w:r>
    </w:p>
    <w:p>
      <w:r>
        <w:rPr>
          <w:color w:val="15653A"/>
        </w:rPr>
        <w:t>Without 2020 | WHO ASR 5–34 | 7 | +16.38 | 0.00536 (-0.00017, 0.01089) | 0.055</w:t>
      </w:r>
    </w:p>
    <w:p>
      <w:r>
        <w:rPr>
          <w:color w:val="15653A"/>
        </w:rPr>
        <w:t>2014–2019 | Brazil ASR 5–34 | 6 | +22.43 | 0.00675 (-0.00228, 0.01578) | 0.107</w:t>
      </w:r>
    </w:p>
    <w:p>
      <w:r>
        <w:rPr>
          <w:color w:val="15653A"/>
        </w:rPr>
        <w:t>2014–2019 | Crude 5–34 | 6 | +23.37 | 0.00701 (-0.00219, 0.01622) | 0.102</w:t>
      </w:r>
    </w:p>
    <w:p>
      <w:r>
        <w:rPr>
          <w:color w:val="15653A"/>
        </w:rPr>
        <w:t>2014–2019 | WHO ASR 5–34 | 6 | +22.80 | 0.00660 (-0.00250, 0.01570) | 0.114</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2018</w:t>
      </w:r>
    </w:p>
    <w:p>
      <w:r>
        <w:rPr>
          <w:color w:val="15653A"/>
        </w:rPr>
        <w:t>Scenario | Family | APC | 95% CI | p | df | Status</w:t>
      </w:r>
    </w:p>
    <w:p>
      <w:r>
        <w:rPr>
          <w:color w:val="15653A"/>
        </w:rPr>
        <w:t>Principal | Poisson | 3.998 | 1.787, 6.258 | &lt;0.001 | 6 | ok</w:t>
      </w:r>
    </w:p>
    <w:p>
      <w:r>
        <w:rPr>
          <w:color w:val="15653A"/>
        </w:rPr>
        <w:t>Principal | Quasi-Poisson | 3.998 | 1.130, 6.949 | 0.014 | 6 | ok</w:t>
      </w:r>
    </w:p>
    <w:p>
      <w:r>
        <w:rPr>
          <w:color w:val="15653A"/>
        </w:rPr>
        <w:t>Principal | Negative binomial | 3.998 | 1.787, 6.258 | &lt;0.001 | 6 | warning</w:t>
      </w:r>
    </w:p>
    <w:p>
      <w:r>
        <w:rPr>
          <w:color w:val="15653A"/>
        </w:rPr>
        <w:t>Without 2020 | Poisson | 3.159 | 0.743, 5.633 | 0.010 | 5 | ok</w:t>
      </w:r>
    </w:p>
    <w:p>
      <w:r>
        <w:rPr>
          <w:color w:val="15653A"/>
        </w:rPr>
        <w:t>Without 2020 | Quasi-Poisson | 3.159 | 0.382, 6.012 | 0.033 | 5 | ok</w:t>
      </w:r>
    </w:p>
    <w:p>
      <w:r>
        <w:rPr>
          <w:color w:val="15653A"/>
        </w:rPr>
        <w:t>Without 2020 | Negative binomial | 3.159 | 0.743, 5.633 | 0.010 | 5 | warning</w:t>
      </w:r>
    </w:p>
    <w:p>
      <w:r>
        <w:rPr>
          <w:color w:val="15653A"/>
        </w:rPr>
        <w:t>2014–2019 | Poisson | 3.673 | 0.212, 7.253 | 0.037 | 4 | ok</w:t>
      </w:r>
    </w:p>
    <w:p>
      <w:r>
        <w:rPr>
          <w:color w:val="15653A"/>
        </w:rPr>
        <w:t>2014–2019 | Quasi-Poisson | 3.673 | -0.992, 8.558 | 0.095 | 4 | ok</w:t>
      </w:r>
    </w:p>
    <w:p>
      <w:r>
        <w:rPr>
          <w:color w:val="15653A"/>
        </w:rPr>
        <w:t>2014–2019 | Negative binomial | 3.673 | 0.212, 7.253 | 0.037 | 4 | warning</w:t>
      </w:r>
    </w:p>
    <w:p>
      <w:r>
        <w:rPr>
          <w:color w:val="15653A"/>
        </w:rPr>
        <w:t>Table S7. Pandemic-period influence, age_7_34, IBGE 2018</w:t>
      </w:r>
    </w:p>
    <w:p>
      <w:r>
        <w:rPr>
          <w:color w:val="15653A"/>
        </w:rPr>
        <w:t>Scenario | Series | Years | Δ % | Slope (95% CI) | p</w:t>
      </w:r>
    </w:p>
    <w:p>
      <w:r>
        <w:rPr>
          <w:color w:val="15653A"/>
        </w:rPr>
        <w:t>Principal | Brazil ASR 7–34 | 8 | +20.99 | 0.00875 (0.00260, 0.01490) | 0.013</w:t>
      </w:r>
    </w:p>
    <w:p>
      <w:r>
        <w:rPr>
          <w:color w:val="15653A"/>
        </w:rPr>
        <w:t>Principal | Crude 7–34 | 8 | +22.90 | 0.00926 (0.00294, 0.01559) | 0.012</w:t>
      </w:r>
    </w:p>
    <w:p>
      <w:r>
        <w:rPr>
          <w:color w:val="15653A"/>
        </w:rPr>
        <w:t>Principal | WHO ASR 7–34 | 8 | +19.83 | 0.00819 (0.00235, 0.01403) | 0.014</w:t>
      </w:r>
    </w:p>
    <w:p>
      <w:r>
        <w:rPr>
          <w:color w:val="15653A"/>
        </w:rPr>
        <w:t>Without 2020 | Brazil ASR 7–34 | 7 | +20.99 | 0.00666 (0.00152, 0.01180) | 0.021</w:t>
      </w:r>
    </w:p>
    <w:p>
      <w:r>
        <w:rPr>
          <w:color w:val="15653A"/>
        </w:rPr>
        <w:t>Without 2020 | Crude 7–34 | 7 | +22.90 | 0.00710 (0.00188, 0.01232) | 0.017</w:t>
      </w:r>
    </w:p>
    <w:p>
      <w:r>
        <w:rPr>
          <w:color w:val="15653A"/>
        </w:rPr>
        <w:t>Without 2020 | WHO ASR 7–34 | 7 | +19.83 | 0.00633 (0.00108, 0.01158) | 0.027</w:t>
      </w:r>
    </w:p>
    <w:p>
      <w:r>
        <w:rPr>
          <w:color w:val="15653A"/>
        </w:rPr>
        <w:t>2014–2019 | Brazil ASR 7–34 | 6 | +24.38 | 0.00767 (-0.00086, 0.01620) | 0.067</w:t>
      </w:r>
    </w:p>
    <w:p>
      <w:r>
        <w:rPr>
          <w:color w:val="15653A"/>
        </w:rPr>
        <w:t>2014–2019 | Crude 7–34 | 6 | +25.45 | 0.00797 (-0.00076, 0.01670) | 0.064</w:t>
      </w:r>
    </w:p>
    <w:p>
      <w:r>
        <w:rPr>
          <w:color w:val="15653A"/>
        </w:rPr>
        <w:t>2014–2019 | WHO ASR 7–34 | 6 | +25.20 | 0.00768 (-0.00087, 0.01622) | 0.067</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2018</w:t>
      </w:r>
    </w:p>
    <w:p>
      <w:r>
        <w:rPr>
          <w:color w:val="15653A"/>
        </w:rPr>
        <w:t>Scenario | Family | APC | 95% CI | p | df | Status</w:t>
      </w:r>
    </w:p>
    <w:p>
      <w:r>
        <w:rPr>
          <w:color w:val="15653A"/>
        </w:rPr>
        <w:t>Principal | Poisson | 4.604 | 2.327, 6.931 | &lt;0.001 | 6 | ok</w:t>
      </w:r>
    </w:p>
    <w:p>
      <w:r>
        <w:rPr>
          <w:color w:val="15653A"/>
        </w:rPr>
        <w:t>Principal | Quasi-Poisson | 4.604 | 1.561, 7.738 | 0.010 | 6 | ok</w:t>
      </w:r>
    </w:p>
    <w:p>
      <w:r>
        <w:rPr>
          <w:color w:val="15653A"/>
        </w:rPr>
        <w:t>Principal | Negative binomial | 4.604 | 2.327, 6.931 | &lt;0.001 | 6 | warning</w:t>
      </w:r>
    </w:p>
    <w:p>
      <w:r>
        <w:rPr>
          <w:color w:val="15653A"/>
        </w:rPr>
        <w:t>Without 2020 | Poisson | 3.590 | 1.104, 6.138 | 0.004 | 5 | ok</w:t>
      </w:r>
    </w:p>
    <w:p>
      <w:r>
        <w:rPr>
          <w:color w:val="15653A"/>
        </w:rPr>
        <w:t>Without 2020 | Quasi-Poisson | 3.590 | 0.975, 6.274 | 0.016 | 5 | ok</w:t>
      </w:r>
    </w:p>
    <w:p>
      <w:r>
        <w:rPr>
          <w:color w:val="15653A"/>
        </w:rPr>
        <w:t>Without 2020 | Negative binomial | 3.590 | 1.104, 6.138 | 0.004 | 5 | warning</w:t>
      </w:r>
    </w:p>
    <w:p>
      <w:r>
        <w:rPr>
          <w:color w:val="15653A"/>
        </w:rPr>
        <w:t>2014–2019 | Poisson | 4.153 | 0.584, 7.849 | 0.022 | 4 | ok</w:t>
      </w:r>
    </w:p>
    <w:p>
      <w:r>
        <w:rPr>
          <w:color w:val="15653A"/>
        </w:rPr>
        <w:t>2014–2019 | Quasi-Poisson | 4.153 | -0.220, 8.718 | 0.058 | 4 | ok</w:t>
      </w:r>
    </w:p>
    <w:p>
      <w:r>
        <w:rPr>
          <w:color w:val="15653A"/>
        </w:rPr>
        <w:t>2014–2019 | Negative binomial | 4.153 | 0.583, 7.849 | 0.022 | 4 | warning</w:t>
      </w:r>
    </w:p>
    <w:p>
      <w:r>
        <w:rPr>
          <w:color w:val="15653A"/>
        </w:rPr>
        <w:t>Table S7. Pandemic-period influence, age_5_34, IBGE 2024</w:t>
      </w:r>
    </w:p>
    <w:p>
      <w:r>
        <w:rPr>
          <w:color w:val="15653A"/>
        </w:rPr>
        <w:t>Scenario | Series | Years | Δ % | Slope (95% CI) | p</w:t>
      </w:r>
    </w:p>
    <w:p>
      <w:r>
        <w:rPr>
          <w:color w:val="15653A"/>
        </w:rPr>
        <w:t>Principal | Brazil ASR 5–34 | 8 | +20.19 | 0.00819 (0.00232, 0.01406) | 0.014</w:t>
      </w:r>
    </w:p>
    <w:p>
      <w:r>
        <w:rPr>
          <w:color w:val="15653A"/>
        </w:rPr>
        <w:t>Principal | Crude 5–34 | 8 | +21.07 | 0.00841 (0.00249, 0.01433) | 0.013</w:t>
      </w:r>
    </w:p>
    <w:p>
      <w:r>
        <w:rPr>
          <w:color w:val="15653A"/>
        </w:rPr>
        <w:t>Principal | WHO ASR 5–34 | 8 | +18.55 | 0.00744 (0.00193, 0.01294) | 0.016</w:t>
      </w:r>
    </w:p>
    <w:p>
      <w:r>
        <w:rPr>
          <w:color w:val="15653A"/>
        </w:rPr>
        <w:t>Without 2020 | Brazil ASR 5–34 | 7 | +20.19 | 0.00643 (0.00087, 0.01199) | 0.031</w:t>
      </w:r>
    </w:p>
    <w:p>
      <w:r>
        <w:rPr>
          <w:color w:val="15653A"/>
        </w:rPr>
        <w:t>Without 2020 | Crude 5–34 | 7 | +21.07 | 0.00662 (0.00105, 0.01220) | 0.028</w:t>
      </w:r>
    </w:p>
    <w:p>
      <w:r>
        <w:rPr>
          <w:color w:val="15653A"/>
        </w:rPr>
        <w:t>Without 2020 | WHO ASR 5–34 | 7 | +18.55 | 0.00596 (0.00036, 0.01155) | 0.041</w:t>
      </w:r>
    </w:p>
    <w:p>
      <w:r>
        <w:rPr>
          <w:color w:val="15653A"/>
        </w:rPr>
        <w:t>2014–2019 | Brazil ASR 5–34 | 6 | +24.27 | 0.00740 (-0.00188, 0.01669) | 0.091</w:t>
      </w:r>
    </w:p>
    <w:p>
      <w:r>
        <w:rPr>
          <w:color w:val="15653A"/>
        </w:rPr>
        <w:t>2014–2019 | Crude 5–34 | 6 | +24.69 | 0.00754 (-0.00180, 0.01687) | 0.088</w:t>
      </w:r>
    </w:p>
    <w:p>
      <w:r>
        <w:rPr>
          <w:color w:val="15653A"/>
        </w:rPr>
        <w:t>2014–2019 | WHO ASR 5–34 | 6 | +24.37 | 0.00720 (-0.00201, 0.01642) | 0.096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2024</w:t>
      </w:r>
    </w:p>
    <w:p>
      <w:r>
        <w:rPr>
          <w:color w:val="15653A"/>
        </w:rPr>
        <w:t>Scenario | Family | APC | 95% CI | p | df | Status</w:t>
      </w:r>
    </w:p>
    <w:p>
      <w:r>
        <w:rPr>
          <w:color w:val="15653A"/>
        </w:rPr>
        <w:t>Principal | Poisson | 4.178 | 1.964, 6.441 | &lt;0.001 | 6 | ok</w:t>
      </w:r>
    </w:p>
    <w:p>
      <w:r>
        <w:rPr>
          <w:color w:val="15653A"/>
        </w:rPr>
        <w:t>Principal | Quasi-Poisson | 4.178 | 1.303, 7.135 | 0.012 | 6 | ok</w:t>
      </w:r>
    </w:p>
    <w:p>
      <w:r>
        <w:rPr>
          <w:color w:val="15653A"/>
        </w:rPr>
        <w:t>Principal | Negative binomial | 4.178 | 1.964, 6.441 | &lt;0.001 | 6 | warning</w:t>
      </w:r>
    </w:p>
    <w:p>
      <w:r>
        <w:rPr>
          <w:color w:val="15653A"/>
        </w:rPr>
        <w:t>Without 2020 | Poisson | 3.339 | 0.919, 5.816 | 0.007 | 5 | ok</w:t>
      </w:r>
    </w:p>
    <w:p>
      <w:r>
        <w:rPr>
          <w:color w:val="15653A"/>
        </w:rPr>
        <w:t>Without 2020 | Quasi-Poisson | 3.339 | 0.551, 6.203 | 0.027 | 5 | ok</w:t>
      </w:r>
    </w:p>
    <w:p>
      <w:r>
        <w:rPr>
          <w:color w:val="15653A"/>
        </w:rPr>
        <w:t>Without 2020 | Negative binomial | 3.339 | 0.919, 5.816 | 0.007 | 5 | warning</w:t>
      </w:r>
    </w:p>
    <w:p>
      <w:r>
        <w:rPr>
          <w:color w:val="15653A"/>
        </w:rPr>
        <w:t>2014–2019 | Poisson | 3.899 | 0.431, 7.487 | 0.027 | 4 | ok</w:t>
      </w:r>
    </w:p>
    <w:p>
      <w:r>
        <w:rPr>
          <w:color w:val="15653A"/>
        </w:rPr>
        <w:t>2014–2019 | Quasi-Poisson | 3.899 | -0.768, 8.786 | 0.082 | 4 | ok</w:t>
      </w:r>
    </w:p>
    <w:p>
      <w:r>
        <w:rPr>
          <w:color w:val="15653A"/>
        </w:rPr>
        <w:t>2014–2019 | Negative binomial | 3.899 | 0.431, 7.487 | 0.027 | 4 | warning</w:t>
      </w:r>
    </w:p>
    <w:p>
      <w:r>
        <w:rPr>
          <w:color w:val="15653A"/>
        </w:rPr>
        <w:t>Table S7. Pandemic-period influence, age_7_34, IBGE 2024</w:t>
      </w:r>
    </w:p>
    <w:p>
      <w:r>
        <w:rPr>
          <w:color w:val="15653A"/>
        </w:rPr>
        <w:t>Scenario | Series | Years | Δ % | Slope (95% CI) | p</w:t>
      </w:r>
    </w:p>
    <w:p>
      <w:r>
        <w:rPr>
          <w:color w:val="15653A"/>
        </w:rPr>
        <w:t>Principal | Brazil ASR 7–34 | 8 | +23.26 | 0.00947 (0.00313, 0.01581) | 0.011</w:t>
      </w:r>
    </w:p>
    <w:p>
      <w:r>
        <w:rPr>
          <w:color w:val="15653A"/>
        </w:rPr>
        <w:t>Principal | Crude 7–34 | 8 | +24.37 | 0.00977 (0.00334, 0.01620) | 0.010</w:t>
      </w:r>
    </w:p>
    <w:p>
      <w:r>
        <w:rPr>
          <w:color w:val="15653A"/>
        </w:rPr>
        <w:t>Principal | WHO ASR 7–34 | 8 | +22.11 | 0.00889 (0.00290, 0.01487) | 0.011</w:t>
      </w:r>
    </w:p>
    <w:p>
      <w:r>
        <w:rPr>
          <w:color w:val="15653A"/>
        </w:rPr>
        <w:t>Without 2020 | Brazil ASR 7–34 | 7 | +23.26 | 0.00732 (0.00202, 0.01262) | 0.016</w:t>
      </w:r>
    </w:p>
    <w:p>
      <w:r>
        <w:rPr>
          <w:color w:val="15653A"/>
        </w:rPr>
        <w:t>Without 2020 | Crude 7–34 | 7 | +24.37 | 0.00757 (0.00225, 0.01288) | 0.015</w:t>
      </w:r>
    </w:p>
    <w:p>
      <w:r>
        <w:rPr>
          <w:color w:val="15653A"/>
        </w:rPr>
        <w:t>Without 2020 | WHO ASR 7–34 | 7 | +22.11 | 0.00696 (0.00164, 0.01227) | 0.020</w:t>
      </w:r>
    </w:p>
    <w:p>
      <w:r>
        <w:rPr>
          <w:color w:val="15653A"/>
        </w:rPr>
        <w:t>2014–2019 | Brazil ASR 7–34 | 6 | +26.32 | 0.00837 (-0.00043, 0.01716) | 0.057</w:t>
      </w:r>
    </w:p>
    <w:p>
      <w:r>
        <w:rPr>
          <w:color w:val="15653A"/>
        </w:rPr>
        <w:t>2014–2019 | Crude 7–34 | 6 | +26.85 | 0.00853 (-0.00033, 0.01739) | 0.056</w:t>
      </w:r>
    </w:p>
    <w:p>
      <w:r>
        <w:rPr>
          <w:color w:val="15653A"/>
        </w:rPr>
        <w:t>2014–2019 | WHO ASR 7–34 | 6 | +26.85 | 0.00831 (-0.00035, 0.01697) | 0.056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2024</w:t>
      </w:r>
    </w:p>
    <w:p>
      <w:r>
        <w:rPr>
          <w:color w:val="15653A"/>
        </w:rPr>
        <w:t>Scenario | Family | APC | 95% CI | p | df | Status</w:t>
      </w:r>
    </w:p>
    <w:p>
      <w:r>
        <w:rPr>
          <w:color w:val="15653A"/>
        </w:rPr>
        <w:t>Principal | Poisson | 4.791 | 2.511, 7.122 | &lt;0.001 | 6 | ok</w:t>
      </w:r>
    </w:p>
    <w:p>
      <w:r>
        <w:rPr>
          <w:color w:val="15653A"/>
        </w:rPr>
        <w:t>Principal | Quasi-Poisson | 4.791 | 1.742, 7.931 | 0.008 | 6 | ok</w:t>
      </w:r>
    </w:p>
    <w:p>
      <w:r>
        <w:rPr>
          <w:color w:val="15653A"/>
        </w:rPr>
        <w:t>Principal | Negative binomial | 4.791 | 2.511, 7.122 | &lt;0.001 | 6 | warning</w:t>
      </w:r>
    </w:p>
    <w:p>
      <w:r>
        <w:rPr>
          <w:color w:val="15653A"/>
        </w:rPr>
        <w:t>Without 2020 | Poisson | 3.778 | 1.288, 6.329 | 0.003 | 5 | ok</w:t>
      </w:r>
    </w:p>
    <w:p>
      <w:r>
        <w:rPr>
          <w:color w:val="15653A"/>
        </w:rPr>
        <w:t>Without 2020 | Quasi-Poisson | 3.778 | 1.150, 6.474 | 0.014 | 5 | ok</w:t>
      </w:r>
    </w:p>
    <w:p>
      <w:r>
        <w:rPr>
          <w:color w:val="15653A"/>
        </w:rPr>
        <w:t>Without 2020 | Negative binomial | 3.778 | 1.288, 6.329 | 0.003 | 5 | warning</w:t>
      </w:r>
    </w:p>
    <w:p>
      <w:r>
        <w:rPr>
          <w:color w:val="15653A"/>
        </w:rPr>
        <w:t>2014–2019 | Poisson | 4.391 | 0.814, 8.096 | 0.016 | 4 | ok</w:t>
      </w:r>
    </w:p>
    <w:p>
      <w:r>
        <w:rPr>
          <w:color w:val="15653A"/>
        </w:rPr>
        <w:t>2014–2019 | Quasi-Poisson | 4.391 | 0.018, 8.956 | 0.049 | 4 | ok</w:t>
      </w:r>
    </w:p>
    <w:p>
      <w:r>
        <w:rPr>
          <w:color w:val="15653A"/>
        </w:rPr>
        <w:t>2014–2019 | Negative binomial | 4.391 | 0.814, 8.096 | 0.016 | 4 | warning</w:t>
      </w:r>
    </w:p>
    <w:p>
      <w:r>
        <w:rPr>
          <w:color w:val="15653A"/>
        </w:rPr>
        <w:t>Table S8. One-condition sensitivities, ge7, IBGE 2018</w:t>
      </w:r>
    </w:p>
    <w:p>
      <w:r>
        <w:rPr>
          <w:color w:val="15653A"/>
        </w:rPr>
        <w:t>Scenario | Deaths | 2014 | 2021 | Δ % | Slope (95% CI) | p</w:t>
      </w:r>
    </w:p>
    <w:p>
      <w:r>
        <w:rPr>
          <w:color w:val="15653A"/>
        </w:rPr>
        <w:t>Principal | 18544 | 1.12274 | 1.07718 | -4.06 | 0.00016 (-0.02139, 0.02170) | 0.986</w:t>
      </w:r>
    </w:p>
    <w:p>
      <w:r>
        <w:rPr>
          <w:color w:val="15653A"/>
        </w:rPr>
        <w:t>Days/365.25 | 18544 | 1.12274 | 1.07719 | -4.06 | 0.00016 (-0.02139, 0.02170) | 0.986</w:t>
      </w:r>
    </w:p>
    <w:p>
      <w:r>
        <w:rPr>
          <w:color w:val="15653A"/>
        </w:rPr>
        <w:t>Original COVID | 18545 | 1.12274 | 1.07772 | -4.01 | 0.00020 (-0.02130, 0.02171) | 0.982</w:t>
      </w:r>
    </w:p>
    <w:p>
      <w:r>
        <w:rPr>
          <w:color w:val="15653A"/>
        </w:rPr>
        <w:t>Retain COVID | 18601 | 1.12274 | 1.09149 | -2.78 | 0.00210 (-0.01965, 0.02385) | 0.821</w:t>
      </w:r>
    </w:p>
    <w:p>
      <w:r>
        <w:rPr>
          <w:color w:val="15653A"/>
        </w:rPr>
        <w:t>Historical key | 18543 | 1.12274 | 1.07718 | -4.06 | 0.00015 (-0.02142, 0.02172) | 0.987</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2018</w:t>
      </w:r>
    </w:p>
    <w:p>
      <w:r>
        <w:rPr>
          <w:color w:val="15653A"/>
        </w:rPr>
        <w:t>Scenario | Deaths | 2014 | 2021 | Δ % | Slope (95% CI) | p</w:t>
      </w:r>
    </w:p>
    <w:p>
      <w:r>
        <w:rPr>
          <w:color w:val="15653A"/>
        </w:rPr>
        <w:t>Principal | 1590 | 0.18176 | 0.21453 | +18.03 | 0.00751 (0.00181, 0.01322) | 0.018</w:t>
      </w:r>
    </w:p>
    <w:p>
      <w:r>
        <w:rPr>
          <w:color w:val="15653A"/>
        </w:rPr>
        <w:t>Days/365.25 | 1590 | 0.18176 | 0.21453 | +18.03 | 0.00751 (0.00181, 0.01322) | 0.018</w:t>
      </w:r>
    </w:p>
    <w:p>
      <w:r>
        <w:rPr>
          <w:color w:val="15653A"/>
        </w:rPr>
        <w:t>Original COVID | 1591 | 0.18176 | 0.21553 | +18.58 | 0.00760 (0.00195, 0.01324) | 0.017</w:t>
      </w:r>
    </w:p>
    <w:p>
      <w:r>
        <w:rPr>
          <w:color w:val="15653A"/>
        </w:rPr>
        <w:t>Retain COVID | 1596 | 0.18176 | 0.21960 | +20.82 | 0.00800 (0.00246, 0.01353) | 0.012</w:t>
      </w:r>
    </w:p>
    <w:p>
      <w:r>
        <w:rPr>
          <w:color w:val="15653A"/>
        </w:rPr>
        <w:t>Historical key | 1590 | 0.18176 | 0.21453 | +18.03 | 0.00751 (0.00181, 0.01322) | 0.018</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2018</w:t>
      </w:r>
    </w:p>
    <w:p>
      <w:r>
        <w:rPr>
          <w:color w:val="15653A"/>
        </w:rPr>
        <w:t>Scenario | Deaths | 2014 | 2021 | Δ % | Slope (95% CI) | p</w:t>
      </w:r>
    </w:p>
    <w:p>
      <w:r>
        <w:rPr>
          <w:color w:val="15653A"/>
        </w:rPr>
        <w:t>Principal | 1519 | 0.18146 | 0.21955 | +20.99 | 0.00875 (0.00260, 0.01490) | 0.013</w:t>
      </w:r>
    </w:p>
    <w:p>
      <w:r>
        <w:rPr>
          <w:color w:val="15653A"/>
        </w:rPr>
        <w:t>Days/365.25 | 1519 | 0.18146 | 0.21955 | +20.99 | 0.00875 (0.00260, 0.01490) | 0.013</w:t>
      </w:r>
    </w:p>
    <w:p>
      <w:r>
        <w:rPr>
          <w:color w:val="15653A"/>
        </w:rPr>
        <w:t>Original COVID | 1520 | 0.18146 | 0.22060 | +21.57 | 0.00884 (0.00275, 0.01493) | 0.012</w:t>
      </w:r>
    </w:p>
    <w:p>
      <w:r>
        <w:rPr>
          <w:color w:val="15653A"/>
        </w:rPr>
        <w:t>Retain COVID | 1525 | 0.18146 | 0.22493 | +23.96 | 0.00926 (0.00331, 0.01522) | 0.009</w:t>
      </w:r>
    </w:p>
    <w:p>
      <w:r>
        <w:rPr>
          <w:color w:val="15653A"/>
        </w:rPr>
        <w:t>Historical key | 1519 | 0.18146 | 0.21955 | +20.99 | 0.00875 (0.00260, 0.01490) | 0.013</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ge7, IBGE 2024</w:t>
      </w:r>
    </w:p>
    <w:p>
      <w:r>
        <w:rPr>
          <w:color w:val="15653A"/>
        </w:rPr>
        <w:t>Scenario | Deaths | 2014 | 2021 | Δ % | Slope (95% CI) | p</w:t>
      </w:r>
    </w:p>
    <w:p>
      <w:r>
        <w:rPr>
          <w:color w:val="15653A"/>
        </w:rPr>
        <w:t>Principal | 18544 | 1.12844 | 1.11123 | -1.53 | 0.00393 (-0.01762, 0.02547) | 0.671</w:t>
      </w:r>
    </w:p>
    <w:p>
      <w:r>
        <w:rPr>
          <w:color w:val="15653A"/>
        </w:rPr>
        <w:t>Days/365.25 | 18544 | 1.12844 | 1.11123 | -1.53 | 0.00393 (-0.01762, 0.02547) | 0.671</w:t>
      </w:r>
    </w:p>
    <w:p>
      <w:r>
        <w:rPr>
          <w:color w:val="15653A"/>
        </w:rPr>
        <w:t>Original COVID | 18545 | 1.12844 | 1.11178 | -1.48 | 0.00397 (-0.01753, 0.02547) | 0.667</w:t>
      </w:r>
    </w:p>
    <w:p>
      <w:r>
        <w:rPr>
          <w:color w:val="15653A"/>
        </w:rPr>
        <w:t>Retain COVID | 18601 | 1.12844 | 1.12583 | -0.23 | 0.00590 (-0.01590, 0.02769) | 0.532</w:t>
      </w:r>
    </w:p>
    <w:p>
      <w:r>
        <w:rPr>
          <w:color w:val="15653A"/>
        </w:rPr>
        <w:t>Historical key | 18543 | 1.12844 | 1.11123 | -1.53 | 0.00392 (-0.01765, 0.02549) | 0.672</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2024</w:t>
      </w:r>
    </w:p>
    <w:p>
      <w:r>
        <w:rPr>
          <w:color w:val="15653A"/>
        </w:rPr>
        <w:t>Scenario | Deaths | 2014 | 2021 | Δ % | Slope (95% CI) | p</w:t>
      </w:r>
    </w:p>
    <w:p>
      <w:r>
        <w:rPr>
          <w:color w:val="15653A"/>
        </w:rPr>
        <w:t>Principal | 1590 | 0.18281 | 0.21972 | +20.19 | 0.00819 (0.00232, 0.01406) | 0.014</w:t>
      </w:r>
    </w:p>
    <w:p>
      <w:r>
        <w:rPr>
          <w:color w:val="15653A"/>
        </w:rPr>
        <w:t>Days/365.25 | 1590 | 0.18281 | 0.21972 | +20.19 | 0.00819 (0.00232, 0.01406) | 0.014</w:t>
      </w:r>
    </w:p>
    <w:p>
      <w:r>
        <w:rPr>
          <w:color w:val="15653A"/>
        </w:rPr>
        <w:t>Original COVID | 1591 | 0.18281 | 0.22073 | +20.74 | 0.00827 (0.00246, 0.01409) | 0.013</w:t>
      </w:r>
    </w:p>
    <w:p>
      <w:r>
        <w:rPr>
          <w:color w:val="15653A"/>
        </w:rPr>
        <w:t>Retain COVID | 1596 | 0.18281 | 0.22498 | +23.06 | 0.00869 (0.00299, 0.01439) | 0.010</w:t>
      </w:r>
    </w:p>
    <w:p>
      <w:r>
        <w:rPr>
          <w:color w:val="15653A"/>
        </w:rPr>
        <w:t>Historical key | 1590 | 0.18281 | 0.21972 | +20.19 | 0.00819 (0.00232, 0.01406) | 0.014</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2024</w:t>
      </w:r>
    </w:p>
    <w:p>
      <w:r>
        <w:rPr>
          <w:color w:val="15653A"/>
        </w:rPr>
        <w:t>Scenario | Deaths | 2014 | 2021 | Δ % | Slope (95% CI) | p</w:t>
      </w:r>
    </w:p>
    <w:p>
      <w:r>
        <w:rPr>
          <w:color w:val="15653A"/>
        </w:rPr>
        <w:t>Principal | 1519 | 0.18258 | 0.22505 | +23.26 | 0.00947 (0.00313, 0.01581) | 0.011</w:t>
      </w:r>
    </w:p>
    <w:p>
      <w:r>
        <w:rPr>
          <w:color w:val="15653A"/>
        </w:rPr>
        <w:t>Days/365.25 | 1519 | 0.18258 | 0.22505 | +23.26 | 0.00947 (0.00313, 0.01581) | 0.011</w:t>
      </w:r>
    </w:p>
    <w:p>
      <w:r>
        <w:rPr>
          <w:color w:val="15653A"/>
        </w:rPr>
        <w:t>Original COVID | 1520 | 0.18258 | 0.22612 | +23.85 | 0.00956 (0.00329, 0.01583) | 0.010</w:t>
      </w:r>
    </w:p>
    <w:p>
      <w:r>
        <w:rPr>
          <w:color w:val="15653A"/>
        </w:rPr>
        <w:t>Retain COVID | 1525 | 0.18258 | 0.23063 | +26.32 | 0.01000 (0.00387, 0.01614) | 0.007</w:t>
      </w:r>
    </w:p>
    <w:p>
      <w:r>
        <w:rPr>
          <w:color w:val="15653A"/>
        </w:rPr>
        <w:t>Historical key | 1519 | 0.18258 | 0.22505 | +23.26 | 0.00947 (0.00313, 0.01581) | 0.011</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Supplementary Figure S1</w:t>
      </w:r>
    </w:p>
    <w:p>
      <w:r>
        <w:rPr>
          <w:color w:val="15653A"/>
        </w:rPr>
        <w:t>Figure S1. Annual crude rates for ages 5–34 and 7–34, within-5–34 Brazil-2014-standardised rates, and 5–34 death counts; corrected selection and IBGE 2018.</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