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 for Respiratory Research &amp; Clinical Practice</w:t>
      </w:r>
    </w:p>
    <w:p>
      <w:r>
        <w:t>Dear Editors,</w:t>
      </w:r>
    </w:p>
    <w:p>
      <w:r>
        <w:t>We present “Reassessing asthma mortality in Brazil during 2014–2021 through reproduction and age-specific analysis” for consideration as an Original Article. The study examines Brazilian asthma mortality during 2014–2021 using public SIM records and IBGE population projections. It directly reassesses Brum et al., “Recent increase in asthma mortality in Brazil: a warning sign for the public health system” (J Bras Pneumol. 2024;50(5):e20240138; doi:10.36416/1806-3756/e20240138), published by this journal under its former title.</w:t>
      </w:r>
    </w:p>
    <w:p>
      <w:r>
        <w:t>The reanalysis shows why the reported national crude increase should be distinguished from the age-standardised trend: the primary national standardised slope is compatible with trends in either direction. Within ages 5–34, standardised mortality increased between the 2014 and 2021 endpoints; the shorter prepandemic series remains inconclusive. These distinctions make the findings directly relevant to respiratory surveillance in Brazil.</w:t>
      </w:r>
    </w:p>
    <w:p>
      <w:r>
        <w:t>We provide an anonymised manuscript, supplementary selection and sensitivity tables, figures, a reporting checklist and reproducible code and outputs. The ambiguous 2018 pair is retained in the principal analysis because available identifiers do not establish a shared death. Numerical results and model warnings remain available for review.</w:t>
      </w:r>
    </w:p>
    <w:p>
      <w:r>
        <w:t>The study used publicly accessible SIM mortality data and aggregated population projections without direct contact with participants. No identifying personal information was included in the reported results.</w:t>
      </w:r>
    </w:p>
    <w:p>
      <w:r>
        <w:t>Claude Code and GitHub Copilot assisted the historical workflow. Codex assisted code revision, analysis checking and editorial drafting. Figures were generated directly from results. Both authors reviewed and approved the final manuscript and take responsibility for its content. No funding was received for this study, and the authors declare no conflicts of interest.</w:t>
      </w:r>
    </w:p>
    <w:p>
      <w:r>
        <w:t>Francisco Federico García Crespi and Amaury de Souza</w:t>
      </w:r>
    </w:p>
    <w:p>
      <w:r>
        <w:t>Correspondence. fedeg@umh.es</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Cover_letter</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