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rPr>
          <w:bCs/>
          <w:b/>
        </w:rPr>
        <w:t xml:space="preserve">Assigned human oversight (pending completion and co-author confirmation).</w:t>
      </w:r>
      <w:r>
        <w:t xml:space="preserve"> </w:t>
      </w:r>
      <w:r>
        <w:t xml:space="preserve">Francisco Federico García Crespi (corresponding author) is responsible for checking the provenance of the public SIM/IBGE inputs, auditing code and outputs against the committed tables and figures, and approving the statistical analyses and final interpretations. Amaury de Souza is assigned independent scientific review of case selection, age standardisation, the Kitagawa accounting decomposition, the 5–34-year finding, robustness analyses, and the epidemiological interpretation and limitations. Both authors must inspect the relevant evidence and confirm that the reported results and disclosures accurately reflect their own review before submission. These assignments do not assert that review or validation has already been completed.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Writing – original draft, and Corresponding author.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2026-10-10T11:11:36Z</dcterms:created>
  <dcterms:modified xsi:type="dcterms:W3CDTF">2026-10-10T11:11:36Z</dcterms:modified>
</cp:coreProperties>
</file>

<file path=docProps/custom.xml><?xml version="1.0" encoding="utf-8"?>
<Properties xmlns="http://schemas.openxmlformats.org/officeDocument/2006/custom-properties" xmlns:vt="http://schemas.openxmlformats.org/officeDocument/2006/docPropsVTypes"/>
</file>