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2,458</w:t>
            </w:r>
          </w:p>
        </w:tc>
        <w:tc>
          <w:tcPr/>
          <w:p>
            <w:pPr>
              <w:pStyle w:val="Compact"/>
              <w:jc w:val="right"/>
            </w:pPr>
            <w:r>
              <w:t xml:space="preserve">2,458</w:t>
            </w:r>
          </w:p>
        </w:tc>
        <w:tc>
          <w:tcPr/>
          <w:p>
            <w:pPr>
              <w:pStyle w:val="Compact"/>
              <w:jc w:val="right"/>
            </w:pPr>
            <w:r>
              <w:t xml:space="preserve">2,427</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19,047</w:t>
            </w:r>
          </w:p>
        </w:tc>
        <w:tc>
          <w:tcPr/>
          <w:p>
            <w:pPr>
              <w:pStyle w:val="Compact"/>
              <w:jc w:val="right"/>
            </w:pPr>
            <w:r>
              <w:t xml:space="preserve">19,032</w:t>
            </w:r>
          </w:p>
        </w:tc>
        <w:tc>
          <w:tcPr/>
          <w:p>
            <w:pPr>
              <w:pStyle w:val="Compact"/>
              <w:jc w:val="right"/>
            </w:pPr>
            <w:r>
              <w:t xml:space="preserve">18,582</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2,427</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2,422</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209</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201</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1.077</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0.218</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0.223</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755</w:t>
            </w:r>
          </w:p>
        </w:tc>
        <w:tc>
          <w:tcPr/>
          <w:p>
            <w:pPr>
              <w:pStyle w:val="Compact"/>
              <w:jc w:val="right"/>
            </w:pPr>
            <w:r>
              <w:t xml:space="preserve">0.478 / 0.587</w:t>
            </w:r>
          </w:p>
        </w:tc>
        <w:tc>
          <w:tcPr/>
          <w:p>
            <w:pPr>
              <w:pStyle w:val="Compact"/>
              <w:jc w:val="right"/>
            </w:pPr>
            <w:r>
              <w:t xml:space="preserve">+22.7</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0.045</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5.93</w:t>
            </w:r>
          </w:p>
        </w:tc>
        <w:tc>
          <w:tcPr/>
          <w:p>
            <w:pPr>
              <w:pStyle w:val="Compact"/>
              <w:jc w:val="left"/>
            </w:pPr>
            <w:r>
              <w:t xml:space="preserve">+2.25 (0.31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(−1.13 to 1.14)</w:t>
            </w:r>
          </w:p>
        </w:tc>
        <w:tc>
          <w:tcPr/>
          <w:p>
            <w:pPr>
              <w:pStyle w:val="Compact"/>
              <w:jc w:val="left"/>
            </w:pPr>
            <w:r>
              <w:t xml:space="preserve">0.999</w:t>
            </w:r>
          </w:p>
        </w:tc>
        <w:tc>
          <w:tcPr/>
          <w:p>
            <w:pPr>
              <w:pStyle w:val="Compact"/>
              <w:jc w:val="right"/>
            </w:pPr>
            <w:r>
              <w:t xml:space="preserve">0.107</w:t>
            </w:r>
          </w:p>
        </w:tc>
        <w:tc>
          <w:tcPr/>
          <w:p>
            <w:pPr>
              <w:pStyle w:val="Compact"/>
              <w:jc w:val="left"/>
            </w:pPr>
            <w:r>
              <w:t xml:space="preserve">+0.29 (0.606)</w:t>
            </w:r>
          </w:p>
        </w:tc>
      </w:tr>
      <w:tr>
        <w:tc>
          <w:tcPr/>
          <w:p>
            <w:pPr>
              <w:pStyle w:val="Compact"/>
              <w:jc w:val="left"/>
            </w:pPr>
            <w:r>
              <w:t xml:space="preserve">Ages 5–34</w:t>
            </w:r>
          </w:p>
        </w:tc>
        <w:tc>
          <w:tcPr/>
          <w:p>
            <w:pPr>
              <w:pStyle w:val="Compact"/>
              <w:jc w:val="right"/>
            </w:pPr>
            <w:r>
              <w:t xml:space="preserve">1.09</w:t>
            </w:r>
          </w:p>
        </w:tc>
        <w:tc>
          <w:tcPr/>
          <w:p>
            <w:pPr>
              <w:pStyle w:val="Compact"/>
              <w:jc w:val="left"/>
            </w:pPr>
            <w:r>
              <w:t xml:space="preserve">+4.00 (1.13 to 6.95)</w:t>
            </w:r>
          </w:p>
        </w:tc>
        <w:tc>
          <w:tcPr/>
          <w:p>
            <w:pPr>
              <w:pStyle w:val="Compact"/>
              <w:jc w:val="left"/>
            </w:pPr>
            <w:r>
              <w:t xml:space="preserve">0.014</w:t>
            </w:r>
          </w:p>
        </w:tc>
        <w:tc>
          <w:tcPr/>
          <w:p>
            <w:pPr>
              <w:pStyle w:val="Compact"/>
              <w:jc w:val="right"/>
            </w:pPr>
            <w:r>
              <w:t xml:space="preserve">&lt;0.001</w:t>
            </w:r>
          </w:p>
        </w:tc>
        <w:tc>
          <w:tcPr/>
          <w:p>
            <w:pPr>
              <w:pStyle w:val="Compact"/>
              <w:jc w:val="left"/>
            </w:pPr>
            <w:r>
              <w:t xml:space="preserve">+4.18 (0.012)</w:t>
            </w:r>
          </w:p>
        </w:tc>
      </w:tr>
      <w:tr>
        <w:tc>
          <w:tcPr/>
          <w:p>
            <w:pPr>
              <w:pStyle w:val="Compact"/>
              <w:jc w:val="left"/>
            </w:pPr>
            <w:r>
              <w:t xml:space="preserve">Ages 7–34</w:t>
            </w:r>
          </w:p>
        </w:tc>
        <w:tc>
          <w:tcPr/>
          <w:p>
            <w:pPr>
              <w:pStyle w:val="Compact"/>
              <w:jc w:val="right"/>
            </w:pPr>
            <w:r>
              <w:t xml:space="preserve">1.15</w:t>
            </w:r>
          </w:p>
        </w:tc>
        <w:tc>
          <w:tcPr/>
          <w:p>
            <w:pPr>
              <w:pStyle w:val="Compact"/>
              <w:jc w:val="left"/>
            </w:pPr>
            <w:r>
              <w:t xml:space="preserve">+4.60 (1.56 to 7.74)</w:t>
            </w:r>
          </w:p>
        </w:tc>
        <w:tc>
          <w:tcPr/>
          <w:p>
            <w:pPr>
              <w:pStyle w:val="Compact"/>
              <w:jc w:val="left"/>
            </w:pPr>
            <w:r>
              <w:t xml:space="preserve">0.010</w:t>
            </w:r>
          </w:p>
        </w:tc>
        <w:tc>
          <w:tcPr/>
          <w:p>
            <w:pPr>
              <w:pStyle w:val="Compact"/>
              <w:jc w:val="right"/>
            </w:pPr>
            <w:r>
              <w:t xml:space="preserve">&lt;0.001</w:t>
            </w:r>
          </w:p>
        </w:tc>
        <w:tc>
          <w:tcPr/>
          <w:p>
            <w:pPr>
              <w:pStyle w:val="Compact"/>
              <w:jc w:val="left"/>
            </w:pPr>
            <w:r>
              <w:t xml:space="preserve">+4.79 (0.008)</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1.077</w:t>
            </w:r>
          </w:p>
        </w:tc>
        <w:tc>
          <w:tcPr/>
          <w:p>
            <w:pPr>
              <w:pStyle w:val="Compact"/>
              <w:jc w:val="right"/>
            </w:pPr>
            <w:r>
              <w:t xml:space="preserve">−4.1</w:t>
            </w:r>
          </w:p>
        </w:tc>
        <w:tc>
          <w:tcPr/>
          <w:p>
            <w:pPr>
              <w:pStyle w:val="Compact"/>
              <w:jc w:val="right"/>
            </w:pPr>
            <w:r>
              <w:t xml:space="preserve">0.0002</w:t>
            </w:r>
          </w:p>
        </w:tc>
        <w:tc>
          <w:tcPr/>
          <w:p>
            <w:pPr>
              <w:pStyle w:val="Compact"/>
              <w:jc w:val="left"/>
            </w:pPr>
            <w:r>
              <w:t xml:space="preserve">(−0.0214 to 0.0217)</w:t>
            </w:r>
          </w:p>
        </w:tc>
        <w:tc>
          <w:tcPr/>
          <w:p>
            <w:pPr>
              <w:pStyle w:val="Compact"/>
              <w:jc w:val="right"/>
            </w:pPr>
            <w:r>
              <w:t xml:space="preserve">0.987</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1.111</w:t>
            </w:r>
          </w:p>
        </w:tc>
        <w:tc>
          <w:tcPr/>
          <w:p>
            <w:pPr>
              <w:pStyle w:val="Compact"/>
              <w:jc w:val="right"/>
            </w:pPr>
            <w:r>
              <w:t xml:space="preserve">−1.5</w:t>
            </w:r>
          </w:p>
        </w:tc>
        <w:tc>
          <w:tcPr/>
          <w:p>
            <w:pPr>
              <w:pStyle w:val="Compact"/>
              <w:jc w:val="right"/>
            </w:pPr>
            <w:r>
              <w:t xml:space="preserve">0.0039</w:t>
            </w:r>
          </w:p>
        </w:tc>
        <w:tc>
          <w:tcPr/>
          <w:p>
            <w:pPr>
              <w:pStyle w:val="Compact"/>
              <w:jc w:val="left"/>
            </w:pPr>
            <w:r>
              <w:t xml:space="preserve">(−0.0176 to 0.0255)</w:t>
            </w:r>
          </w:p>
        </w:tc>
        <w:tc>
          <w:tcPr/>
          <w:p>
            <w:pPr>
              <w:pStyle w:val="Compact"/>
              <w:jc w:val="right"/>
            </w:pPr>
            <w:r>
              <w:t xml:space="preserve">0.672</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1.048</w:t>
            </w:r>
          </w:p>
        </w:tc>
        <w:tc>
          <w:tcPr/>
          <w:p>
            <w:pPr>
              <w:pStyle w:val="Compact"/>
              <w:jc w:val="right"/>
            </w:pPr>
            <w:r>
              <w:t xml:space="preserve">−4.3</w:t>
            </w:r>
          </w:p>
        </w:tc>
        <w:tc>
          <w:tcPr/>
          <w:p>
            <w:pPr>
              <w:pStyle w:val="Compact"/>
              <w:jc w:val="right"/>
            </w:pPr>
            <w:r>
              <w:t xml:space="preserve">−0.0002</w:t>
            </w:r>
          </w:p>
        </w:tc>
        <w:tc>
          <w:tcPr/>
          <w:p>
            <w:pPr>
              <w:pStyle w:val="Compact"/>
              <w:jc w:val="left"/>
            </w:pPr>
            <w:r>
              <w:t xml:space="preserve">(−0.0208 to 0.0205)</w:t>
            </w:r>
          </w:p>
        </w:tc>
        <w:tc>
          <w:tcPr/>
          <w:p>
            <w:pPr>
              <w:pStyle w:val="Compact"/>
              <w:jc w:val="right"/>
            </w:pPr>
            <w:r>
              <w:t xml:space="preserve">0.985</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1.079</w:t>
            </w:r>
          </w:p>
        </w:tc>
        <w:tc>
          <w:tcPr/>
          <w:p>
            <w:pPr>
              <w:pStyle w:val="Compact"/>
              <w:jc w:val="right"/>
            </w:pPr>
            <w:r>
              <w:t xml:space="preserve">−2.1</w:t>
            </w:r>
          </w:p>
        </w:tc>
        <w:tc>
          <w:tcPr/>
          <w:p>
            <w:pPr>
              <w:pStyle w:val="Compact"/>
              <w:jc w:val="right"/>
            </w:pPr>
            <w:r>
              <w:t xml:space="preserve">0.0030</w:t>
            </w:r>
          </w:p>
        </w:tc>
        <w:tc>
          <w:tcPr/>
          <w:p>
            <w:pPr>
              <w:pStyle w:val="Compact"/>
              <w:jc w:val="left"/>
            </w:pPr>
            <w:r>
              <w:t xml:space="preserve">(−0.0176 to 0.0237)</w:t>
            </w:r>
          </w:p>
        </w:tc>
        <w:tc>
          <w:tcPr/>
          <w:p>
            <w:pPr>
              <w:pStyle w:val="Compact"/>
              <w:jc w:val="right"/>
            </w:pPr>
            <w:r>
              <w:t xml:space="preserve">0.731</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0.218</w:t>
            </w:r>
          </w:p>
        </w:tc>
        <w:tc>
          <w:tcPr/>
          <w:p>
            <w:pPr>
              <w:pStyle w:val="Compact"/>
              <w:jc w:val="right"/>
            </w:pPr>
            <w:r>
              <w:t xml:space="preserve">+19.7</w:t>
            </w:r>
          </w:p>
        </w:tc>
        <w:tc>
          <w:tcPr/>
          <w:p>
            <w:pPr>
              <w:pStyle w:val="Compact"/>
              <w:jc w:val="right"/>
            </w:pPr>
            <w:r>
              <w:t xml:space="preserve">0.0079</w:t>
            </w:r>
          </w:p>
        </w:tc>
        <w:tc>
          <w:tcPr/>
          <w:p>
            <w:pPr>
              <w:pStyle w:val="Compact"/>
              <w:jc w:val="left"/>
            </w:pPr>
            <w:r>
              <w:t xml:space="preserve">(0.0021 to 0.0138)</w:t>
            </w:r>
          </w:p>
        </w:tc>
        <w:tc>
          <w:tcPr/>
          <w:p>
            <w:pPr>
              <w:pStyle w:val="Compact"/>
              <w:jc w:val="right"/>
            </w:pPr>
            <w:r>
              <w:t xml:space="preserve">0.016</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0.221</w:t>
            </w:r>
          </w:p>
        </w:tc>
        <w:tc>
          <w:tcPr/>
          <w:p>
            <w:pPr>
              <w:pStyle w:val="Compact"/>
              <w:jc w:val="right"/>
            </w:pPr>
            <w:r>
              <w:t xml:space="preserve">+21.1</w:t>
            </w:r>
          </w:p>
        </w:tc>
        <w:tc>
          <w:tcPr/>
          <w:p>
            <w:pPr>
              <w:pStyle w:val="Compact"/>
              <w:jc w:val="right"/>
            </w:pPr>
            <w:r>
              <w:t xml:space="preserve">0.0084</w:t>
            </w:r>
          </w:p>
        </w:tc>
        <w:tc>
          <w:tcPr/>
          <w:p>
            <w:pPr>
              <w:pStyle w:val="Compact"/>
              <w:jc w:val="left"/>
            </w:pPr>
            <w:r>
              <w:t xml:space="preserve">(0.0025 to 0.0143)</w:t>
            </w:r>
          </w:p>
        </w:tc>
        <w:tc>
          <w:tcPr/>
          <w:p>
            <w:pPr>
              <w:pStyle w:val="Compact"/>
              <w:jc w:val="right"/>
            </w:pPr>
            <w:r>
              <w:t xml:space="preserve">0.013</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0.207</w:t>
            </w:r>
          </w:p>
        </w:tc>
        <w:tc>
          <w:tcPr/>
          <w:p>
            <w:pPr>
              <w:pStyle w:val="Compact"/>
              <w:jc w:val="right"/>
            </w:pPr>
            <w:r>
              <w:t xml:space="preserve">+16.4</w:t>
            </w:r>
          </w:p>
        </w:tc>
        <w:tc>
          <w:tcPr/>
          <w:p>
            <w:pPr>
              <w:pStyle w:val="Compact"/>
              <w:jc w:val="right"/>
            </w:pPr>
            <w:r>
              <w:t xml:space="preserve">0.0068</w:t>
            </w:r>
          </w:p>
        </w:tc>
        <w:tc>
          <w:tcPr/>
          <w:p>
            <w:pPr>
              <w:pStyle w:val="Compact"/>
              <w:jc w:val="left"/>
            </w:pPr>
            <w:r>
              <w:t xml:space="preserve">(0.0014 to 0.0122)</w:t>
            </w:r>
          </w:p>
        </w:tc>
        <w:tc>
          <w:tcPr/>
          <w:p>
            <w:pPr>
              <w:pStyle w:val="Compact"/>
              <w:jc w:val="right"/>
            </w:pPr>
            <w:r>
              <w:t xml:space="preserve">0.022</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0.212</w:t>
            </w:r>
          </w:p>
        </w:tc>
        <w:tc>
          <w:tcPr/>
          <w:p>
            <w:pPr>
              <w:pStyle w:val="Compact"/>
              <w:jc w:val="right"/>
            </w:pPr>
            <w:r>
              <w:t xml:space="preserve">+18.5</w:t>
            </w:r>
          </w:p>
        </w:tc>
        <w:tc>
          <w:tcPr/>
          <w:p>
            <w:pPr>
              <w:pStyle w:val="Compact"/>
              <w:jc w:val="right"/>
            </w:pPr>
            <w:r>
              <w:t xml:space="preserve">0.0074</w:t>
            </w:r>
          </w:p>
        </w:tc>
        <w:tc>
          <w:tcPr/>
          <w:p>
            <w:pPr>
              <w:pStyle w:val="Compact"/>
              <w:jc w:val="left"/>
            </w:pPr>
            <w:r>
              <w:t xml:space="preserve">(0.0019 to 0.0129)</w:t>
            </w:r>
          </w:p>
        </w:tc>
        <w:tc>
          <w:tcPr/>
          <w:p>
            <w:pPr>
              <w:pStyle w:val="Compact"/>
              <w:jc w:val="right"/>
            </w:pPr>
            <w:r>
              <w:t xml:space="preserve">0.016</w:t>
            </w:r>
          </w:p>
        </w:tc>
      </w:tr>
    </w:tbl>
    <w:p/>
    <w:p>
      <w:pPr>
        <w:pStyle w:val="TableCaption"/>
      </w:pPr>
      <w:r>
        <w:rPr>
          <w:bCs/>
          <w:b/>
        </w:rPr>
        <w:t xml:space="preserve">Supplementary Table S6.</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1.257</w:t>
            </w:r>
          </w:p>
        </w:tc>
        <w:tc>
          <w:tcPr/>
          <w:p>
            <w:pPr>
              <w:pStyle w:val="Compact"/>
              <w:jc w:val="right"/>
            </w:pPr>
            <w:r>
              <w:t xml:space="preserve">+0.134</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143</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1.257</w:t>
            </w:r>
          </w:p>
        </w:tc>
        <w:tc>
          <w:tcPr/>
          <w:p>
            <w:pPr>
              <w:pStyle w:val="Compact"/>
              <w:jc w:val="right"/>
            </w:pPr>
            <w:r>
              <w:t xml:space="preserve">+0.086</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194</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1.257</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p>
      <w:pPr>
        <w:pStyle w:val="CaptionedFigure"/>
      </w:pPr>
      <w:r>
        <w:drawing>
          <wp:inline>
            <wp:extent cx="5334000" cy="5033492"/>
            <wp:effectExtent b="0" l="0" r="0" t="0"/>
            <wp:docPr descr="Supplementary Figure S1. 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 title="" id="21" name="Picture"/>
            <a:graphic>
              <a:graphicData uri="http://schemas.openxmlformats.org/drawingml/2006/picture">
                <pic:pic>
                  <pic:nvPicPr>
                    <pic:cNvPr descr="figS1_age_5_34_mortality.jpg" id="22" name="Picture"/>
                    <pic:cNvPicPr>
                      <a:picLocks noChangeArrowheads="1" noChangeAspect="1"/>
                    </pic:cNvPicPr>
                  </pic:nvPicPr>
                  <pic:blipFill>
                    <a:blip r:embed="rId20"/>
                    <a:stretch>
                      <a:fillRect/>
                    </a:stretch>
                  </pic:blipFill>
                  <pic:spPr bwMode="auto">
                    <a:xfrm>
                      <a:off x="0" y="0"/>
                      <a:ext cx="5334000" cy="5033492"/>
                    </a:xfrm>
                    <a:prstGeom prst="rect">
                      <a:avLst/>
                    </a:prstGeom>
                    <a:noFill/>
                    <a:ln w="9525">
                      <a:noFill/>
                      <a:headEnd/>
                      <a:tailEnd/>
                    </a:ln>
                  </pic:spPr>
                </pic:pic>
              </a:graphicData>
            </a:graphic>
          </wp:inline>
        </w:drawing>
      </w:r>
    </w:p>
    <w:p>
      <w:pPr>
        <w:pStyle w:val="ImageCaption"/>
      </w:pPr>
      <w:r>
        <w:rPr>
          <w:bCs/>
          <w:b/>
        </w:rPr>
        <w:t xml:space="preserve">Supplementary Figure S1.</w:t>
      </w:r>
      <w:r>
        <w:t xml:space="preserve"> </w:t>
      </w:r>
      <w:r>
        <w:t xml:space="preserve">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2026-10-10T19:03:35Z</dcterms:created>
  <dcterms:modified xsi:type="dcterms:W3CDTF">2026-10-10T19:03:35Z</dcterms:modified>
</cp:coreProperties>
</file>

<file path=docProps/custom.xml><?xml version="1.0" encoding="utf-8"?>
<Properties xmlns="http://schemas.openxmlformats.org/officeDocument/2006/custom-properties" xmlns:vt="http://schemas.openxmlformats.org/officeDocument/2006/docPropsVTypes"/>
</file>