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pPr>
        <w:pStyle w:val="Heading1"/>
      </w:pPr>
      <w:r>
        <w:t>Abstract</w:t>
      </w:r>
    </w:p>
    <w:p>
      <w:r>
        <w:t>Objective. To assess whether rising crude asthma mortality in Brazil during 2014–2021 persists after standardisation at ages ≥7, and examine mortality within ages 5–34.</w:t>
      </w:r>
    </w:p>
    <w:p>
      <w:r>
        <w:t>Methods. This ecological study reproduced the analysis and revised selection using calendar age, COVID exclusions including U071, and retention of two 2018 records without confirmed shared identity. The primary analysis used Brazilian Institute of Geography and Statistics (IBGE) 2018 denominators and Brazil 2014 standard weights, normalised within each age range. Kitagawa decomposition described the contributions of age composition and age-specific rates to changes in crude mortality. Sensitivities examined IBGE 2024, World Health Organization (WHO) weights, count models, selection rules and pandemic-period restrictions.</w:t>
      </w:r>
    </w:p>
    <w:p>
      <w: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t>Conclusions. Changes in population age composition accounted for much of the crude increase at ages ≥7 in a descriptive decomposition. The primary national age-standardised estimate was compatible with trends in either direction. Within 5–34, primary Brazil-2014 standardisation supported an increase over 2014–2021 and after excluding 2020; the shorter prepandemic series remained inconclusive about the annual trend. Surveillance should report crude, age-standardised and age-specific rates together.</w:t>
      </w:r>
    </w:p>
    <w:p>
      <w:r>
        <w:t>Keywords. Asthma; Mortality; Age Distribution; Population Dynamics; Reproducibility of Results; Brazil.</w:t>
      </w:r>
    </w:p>
    <w:p>
      <w:pPr>
        <w:pStyle w:val="Heading1"/>
      </w:pPr>
      <w:r>
        <w:t>Introduction</w:t>
      </w:r>
    </w:p>
    <w:p>
      <w:r>
        <w:t>One nationwide study concluded that "asthma mortality remains high and shows an increasing trend for the first time in the past decades" [1]. That analysis for 2014–2021 identified 18,584 asthma deaths and reported an annual increase of approximately 2.5%. Another study of 2013–2023 concluded that asthma-related deaths had increased [2]. The latter conclusion relied on annual death counts, although the overall mortality rate per 100,000 inhabitants was reported as stable. These measures describe different aspects of mortality. Neither establishes an increase in the national age-standardised rate.</w:t>
      </w:r>
    </w:p>
    <w:p>
      <w:r>
        <w:t>Earlier Brazilian surveillance offers a longer perspective. An earlier study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t>Population ageing is relevant to this comparison because approximately two thirds of asthma deaths occurred among people aged ≥60 [1,2]. Changes in age composition can raise crude mortality even when age-specific rates do not increase. Neither recent study directly age-standardised the national series. Public code for the first study [4] provides an opportunity to examine case selection, population denominators and trend estimates before reassessing the mortality pattern.</w:t>
      </w:r>
    </w:p>
    <w:p>
      <w:r>
        <w:t>We examined whether the reported increase in Brazilian asthma mortality during 2014–2021 persisted when population age structure was held fixed. We first reproduced the first study's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w:t>
      </w:r>
    </w:p>
    <w:p>
      <w:pPr>
        <w:pStyle w:val="Heading1"/>
      </w:pPr>
      <w:r>
        <w:t>Methods</w:t>
      </w:r>
    </w:p>
    <w:p>
      <w:pPr>
        <w:pStyle w:val="Heading2"/>
      </w:pPr>
      <w:r>
        <w:t>Study design and reference reproduction</w:t>
      </w:r>
    </w:p>
    <w:p>
      <w:r>
        <w:t>This secondary ecological analysis used the Brazilian Mortality Information System (SIM) to examine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Sensitivity analyses and descriptive decomposition complemented the primary estimates. We applied no multiple-testing correction.</w:t>
      </w:r>
    </w:p>
    <w:p>
      <w:r>
        <w:t>We reproduced the historical analysis against the archived manuscript and versioned analytical code. Provenance details are reported under Software, reproducibility and ethics.</w:t>
      </w:r>
    </w:p>
    <w:p>
      <w:pPr>
        <w:pStyle w:val="Heading2"/>
      </w:pPr>
      <w:r>
        <w:t>Selection, COVID mentions and record identity</w:t>
      </w:r>
    </w:p>
    <w:p>
      <w:r>
        <w:t>We selected records whose underlying cause field, CAUSABAS, contained International Classification of Diseases, tenth revision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t>The historical key combined death date, elapsed-days age, underlying cause and five cause lines. It collapsed two 2018 records with differences in occupation and administrative fields. The death-declaration identifier NUMERODO, described in the SIM dictionary [6], is absent from the public CSVs. Available fields therefore cannot establish a shared death. We retained both records and assessed their collapse as a sensitivity. Supplementary methods document the rows and fields.</w:t>
      </w:r>
    </w:p>
    <w:p>
      <w:pPr>
        <w:pStyle w:val="Heading2"/>
      </w:pPr>
      <w:r>
        <w:t>Calendar ages and analytical domains</w:t>
      </w:r>
    </w:p>
    <w:p>
      <w:r>
        <w:t>Completed age was the difference between death and birth years, reduced by one if death preceded that year's birthday. For births on 29 February, the anniversary in a non-leap year was 1 March. Missing or invalid dates and birth after death were excluded and logged separately. We applied no upper-age exclusion and grouped ages ≥90 into the IBGE 90+ interval. Date parsing is detailed in the supplement.</w:t>
      </w:r>
    </w:p>
    <w:p>
      <w:r>
        <w:t>Calendar age defined the ≥7, 5–34, 7–34, 35–59 and ≥60 groups. One sensitivity used days/365.25, with its floor defining single-year bins. The historical reproduction retained the continuous &gt;6 threshold as a separate population.</w:t>
      </w:r>
    </w:p>
    <w:p>
      <w:pPr>
        <w:pStyle w:val="Heading2"/>
      </w:pPr>
      <w:r>
        <w:t>Denominators and direct standardisation</w:t>
      </w:r>
    </w:p>
    <w:p>
      <w:r>
        <w:t>National single-year populations for both sexes came from the Brazilian Institute of Geography and Statistics (IBGE) 2018 revision [7]; the 2024 revision following the 2022 Census provided a sensitivity [8]. Both revisions provide single-year ages 0–89 and an open 90+ interval; workbook extraction is documented in the supplement.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t>For age domain D and year t, we calculated the directly age-standardised rate (ASR) as follows.</w:t>
      </w:r>
    </w:p>
    <w:p>
      <w:r>
        <w:t>ASR(t,D) = Σ[a∈D] w(a,D) × 100,000 × deaths(a,t) / population(a,t).</w:t>
      </w:r>
    </w:p>
    <w:p>
      <w:r>
        <w:t>w(a,D) = population(a,2014) / Σ[j∈D] population(j,2014), so Σ[a∈D] w(a,D) = 1.</w:t>
      </w:r>
    </w:p>
    <w:p>
      <w:r>
        <w:t>Weights were fixed across years and normalised separately within each age domain, including 5–34 and 7–34. Each denominator revision supplied its own Brazil 2014 standard population. Deaths and population at ≥90 shared one open interval. World Health Organization (WHO) standardisation used five-year bands [9],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pPr>
        <w:pStyle w:val="Heading2"/>
      </w:pPr>
      <w:r>
        <w:t>Trends, count models and sensitivity scenarios</w:t>
      </w:r>
    </w:p>
    <w:p>
      <w:r>
        <w:t>We fitted Gaussian-family generalised linear models (GLMs) to national crude and Brazil-standardised annual rates and ordinary least squares (OLS)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t>Count models used log-link Poisson, quasi-Poisson and negative binomial families [10].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standard error (SE). Quasi-Poisson used the t distribution with model residual degrees of freedom; Poisson and negative binomial used normal Wald intervals.</w:t>
      </w:r>
    </w:p>
    <w:p>
      <w: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pPr>
        <w:pStyle w:val="Heading2"/>
      </w:pPr>
      <w:r>
        <w:t>Kitagawa accounting decomposition</w:t>
      </w:r>
    </w:p>
    <w:p>
      <w:r>
        <w:t>For the corrected ≥7 population, symmetric Kitagawa decomposition [11] partitioned crude differences into an age-composition term C and an age-specific-rate term R.</w:t>
      </w:r>
    </w:p>
    <w:p>
      <w:r>
        <w:t>C = Σ[a] (w(a,1) − w(a,0)) × (r(a,0) + r(a,1)) / 2.</w:t>
      </w:r>
    </w:p>
    <w:p>
      <w:r>
        <w:t>R = Σ[a] (r(a,1) − r(a,0)) × (w(a,0) + w(a,1)) / 2.</w:t>
      </w:r>
    </w:p>
    <w:p>
      <w:r>
        <w:t>Crude(1) − crude(0) = C + R, with r in deaths per 100,000 and each year's w normalised within ≥7.</w:t>
      </w:r>
    </w:p>
    <w:p>
      <w: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pPr>
        <w:pStyle w:val="Heading2"/>
      </w:pPr>
      <w:r>
        <w:t>Software, reproducibility and ethics</w:t>
      </w:r>
    </w:p>
    <w:p>
      <w:r>
        <w:t>We used R 4.6.1 [12] for reproduction and revision; the reference reported R 4.3.3. The code records versions, configurations, hashes, warnings and independent checks. Public inputs and separate scenario outputs support reproduction. Code and revision outputs are supplied in the accompanying reproducibility materials. The repository address is provided separately to the editors.</w:t>
      </w:r>
    </w:p>
    <w:p>
      <w:r>
        <w:t>Recovered official SIM archives reproduced the recorded selection counts and year-age aggregates exactly. Historical execution hashes exist only for 2020–2021, preventing confirmation of historical file identity for 2014–2019. The supplement and provenance manifest document the manuscript reference, concordant Word, code commit and input hashes.</w:t>
      </w:r>
    </w:p>
    <w:p>
      <w:r>
        <w:t>Codex assisted code revision and analysis checking. Figures were plotted directly from analytical results. Editorial AI assistance is disclosed in Acknowledgements.</w:t>
      </w:r>
    </w:p>
    <w:p>
      <w:r>
        <w:t>The study used publicly accessible SIM mortality data and aggregated population projections without direct contact with participants. No identifying personal information was included in the reported results.</w:t>
      </w:r>
    </w:p>
    <w:p>
      <w:pPr>
        <w:pStyle w:val="Heading1"/>
      </w:pPr>
      <w:r>
        <w:t>Results</w:t>
      </w:r>
    </w:p>
    <w:p>
      <w:pPr>
        <w:pStyle w:val="Heading2"/>
      </w:pPr>
      <w:r>
        <w:t>Historical reproduction and corrected selection</w:t>
      </w:r>
    </w:p>
    <w:p>
      <w:r>
        <w:t>The historical pipeline reproduced 19,105 underlying-cause candidates, 56 COVID exclusions, one reduced-key removal, 15 uninterpretable ages and 18,583 deaths at continuous age &gt;6. The original study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pPr>
        <w:pStyle w:val="Heading2"/>
      </w:pPr>
      <w:r>
        <w:t>National domain of completed ages ≥7</w:t>
      </w:r>
    </w:p>
    <w:p>
      <w: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t>Table 1 summarises the rate estimates. Figure 1 compares changes from 2014.</w:t>
      </w:r>
    </w:p>
    <w:p>
      <w: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pPr>
        <w:pStyle w:val="Heading2"/>
      </w:pPr>
      <w:r>
        <w:t>Composition of the crude-rate change at ≥7</w:t>
      </w:r>
    </w:p>
    <w:p>
      <w: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t>Figure 2 compares the decomposition under both population revisions.</w:t>
      </w:r>
    </w:p>
    <w:p>
      <w:pPr>
        <w:pStyle w:val="Heading2"/>
      </w:pPr>
      <w:r>
        <w:t>Age-domain mortality and sensitivity analyses</w:t>
      </w:r>
    </w:p>
    <w:p>
      <w: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w:t>
      </w:r>
    </w:p>
    <w:p>
      <w:r>
        <w:t>At 35–59 the crude slope remained imprecise (p = 0.132); uncertainty is not evidence of stability.</w:t>
      </w:r>
    </w:p>
    <w:p>
      <w:pPr>
        <w:pStyle w:val="Heading1"/>
      </w:pPr>
      <w:r>
        <w:t>Discussion</w:t>
      </w:r>
    </w:p>
    <w:p>
      <w:r>
        <w:t>The corrected analysis found an increase in aligned crude asthma mortality among people aged ≥7 between 2014 and 2021. With Brazil 2014 age weights held fixed, the endpoint change was negative and the slope across all eight years was close to zero. Endpoint comparisons and slopes across all annual observations describe different aspects of the series. The interval was compatible with trends in either direction and does not demonstrate stability. The positive age-adjusted negative binomial estimate with IBGE 2024 shows that national trend inference also depends on the model and population revision.</w:t>
      </w:r>
    </w:p>
    <w:p>
      <w:r>
        <w:t>Age composition contributed positively to the crude change for every endpoint pair under both population revisions. In some pairs, the composition term exceeded the net increase because the age-specific-rate term was negative. The decomposition combines composition and rates arithmetically; it cannot identify effects of certification, treatment access or the pandemic.</w:t>
      </w:r>
    </w:p>
    <w:p>
      <w: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previously [3].</w:t>
      </w:r>
    </w:p>
    <w:p>
      <w: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in the original study remain unavailable. Exact reproduction of recorded counts and aggregates therefore cannot establish historical file identity.</w:t>
      </w:r>
    </w:p>
    <w:p>
      <w:r>
        <w:t>Negative binomial θ iteration warnings near the Poisson limit constrain confidence in dispersion estimation. We retained every model and its warnings to make these limitations visible. Statistical intervals quantify model uncertainty; they do not capture uncertainty in record selection, certification or population reconstruction.</w:t>
      </w:r>
    </w:p>
    <w:p>
      <w: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pPr>
        <w:pStyle w:val="Heading1"/>
      </w:pPr>
      <w:r>
        <w:t>Acknowledgements</w:t>
      </w:r>
    </w:p>
    <w:p>
      <w:r>
        <w:t>Claude Code and GitHub Copilot supported the historical workflow. Codex assisted editorial drafting and revision. Both authors reviewed and approved the final manuscript and take responsibility for its content.</w:t>
      </w:r>
    </w:p>
    <w:p>
      <w:pPr>
        <w:pStyle w:val="Heading1"/>
      </w:pPr>
      <w:r>
        <w:t>References</w:t>
      </w:r>
    </w:p>
    <w:p>
      <w:r>
        <w:t>1. Brum M, Henz J, Boeira M, Soares S, Friedrich F, Pitrez PM. Recent increase in asthma mortality in Brazil: a warning sign for the public health system. J Bras Pneumol. 2024;50(5):e20240138. doi:10.36416/1806-3756/e20240138</w:t>
      </w:r>
    </w:p>
    <w:p>
      <w:r>
        <w:t>2. Cardoso ADRO, Ferreira ACG, Rabahi MF. Asthma-related deaths in Brazil: data from an ecological study. J Bras Pneumol. 2024;50(6):e20240296. doi:10.36416/1806-3756/e20240296</w:t>
      </w:r>
    </w:p>
    <w:p>
      <w:r>
        <w:t>3. Graudenz GS, Carneiro DP, Vieira RP. Trends in asthma mortality in the 0- to 4-year and 5- to 34-year age groups in Brazil. J Bras Pneumol. 2017;43(1):24-31. doi:10.1590/S1806-37562015000000253</w:t>
      </w:r>
    </w:p>
    <w:p>
      <w:r>
        <w:t>4. Brum M, et al. Analysis code accompanying reference 1. GitHub repository, commit 8d527a5 (15 May 2024). Available from: https://github.com/mobrant94/asthma_mortality</w:t>
      </w:r>
    </w:p>
    <w:p>
      <w:r>
        <w:t>5. Ministério da Saúde (Brasil). Sistema de Informação sobre Mortalidade (SIM). Portal de Dados Abertos do SUS. Available from: https://dadosabertos.saude.gov.br/dataset/sim</w:t>
      </w:r>
    </w:p>
    <w:p>
      <w:r>
        <w:t>6. Ministério da Saúde. Estrutura de Dados SIM. Secretaria de Vigilância em Saúde. Official data dictionary, archived by UFBA. https://ccvisat.ufba.br/wp-content/uploads/2019/10/Estrutura-do-SIM-para-o-CD-ROM.pdf (accessed 11 October 2026).</w:t>
      </w:r>
    </w:p>
    <w:p>
      <w:r>
        <w:t>7.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t>8. Instituto Brasileiro de Geografia e Estatística. Projeções da População, revisão 2024: população por idade simples. Available from: https://ftp.ibge.gov.br/Projecao_da_Populacao/Projecao_da_Populacao_2024/ (accessed 1 October 2026)</w:t>
      </w:r>
    </w:p>
    <w:p>
      <w:r>
        <w:t>9. Ahmad OB, Boschi-Pinto C, Lopez AD, Murray CJL, Lozano R, Inoue M. Age standardization of rates: a new WHO standard. GPE Discussion Paper Series No. 31. Geneva: World Health Organization; 2001.</w:t>
      </w:r>
    </w:p>
    <w:p>
      <w:r>
        <w:t>10. Venables WN, Ripley BD. Modern applied statistics with S. 4th ed. New York: Springer; 2002.</w:t>
      </w:r>
    </w:p>
    <w:p>
      <w:r>
        <w:t>11. Kitagawa EM. Components of a difference between two rates. J Am Stat Assoc. 1955;50(272):1168–1194. doi:10.1080/01621459.1955.10501299</w:t>
      </w:r>
    </w:p>
    <w:p>
      <w:r>
        <w:t>12. R Core Team. R: a language and environment for statistical computing. Vienna: R Foundation for Statistical Computing; 2026. Available from: https://www.R-project.org/</w:t>
      </w:r>
    </w:p>
    <w:p>
      <w:pPr>
        <w:pStyle w:val="Heading1"/>
        <w:pageBreakBefore/>
      </w:pPr>
      <w:r>
        <w:t>Table 1. Historical comparators and corrected primary rates, Brazil, 2014–2021</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Corrected crude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0.0270 (0.0030, 0.0509)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0.0002 (-0.0214, 0.0217)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0.0079 (0.0021, 0.0138)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 (0.0018, 0.0132)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0.0093 (0.0029, 0.0156)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0.0221 (-0.0089, 0.0532)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all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0.0250 (0.0036, 0.0463)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≥7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1.260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0.0268 (0.0031, 0.0505)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w:t>
            </w:r>
          </w:p>
        </w:tc>
      </w:tr>
    </w:tbl>
    <w:p>
      <w:pPr>
        <w:spacing w:after="20"/>
      </w:pPr>
    </w:p>
    <w:p>
      <w: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pPr>
        <w:pStyle w:val="Heading1"/>
        <w:pageBreakBefore/>
      </w:pPr>
      <w:r>
        <w:t>Figure 1. Relative changes from 2014</w:t>
      </w:r>
    </w:p>
    <w:p>
      <w:pPr>
        <w:jc w:val="center"/>
      </w:pPr>
      <w:r>
        <w:drawing>
          <wp:inline xmlns:a="http://schemas.openxmlformats.org/drawingml/2006/main" xmlns:pic="http://schemas.openxmlformats.org/drawingml/2006/picture">
            <wp:extent cx="6126480" cy="3910519"/>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126480" cy="3910519"/>
                    </a:xfrm>
                    <a:prstGeom prst="rect"/>
                  </pic:spPr>
                </pic:pic>
              </a:graphicData>
            </a:graphic>
          </wp:inline>
        </w:drawing>
      </w:r>
    </w:p>
    <w:p>
      <w:pPr>
        <w:pStyle w:val="Caption"/>
      </w:pPr>
      <w:r>
        <w:t>Figure 1. Corrected aligned crude and Brazil-2014-standardised national rates for completed ages ≥7, plus rates standardised within 5–34. IBGE 2018 denominators; changes relative to each series' own 2014 rate.</w:t>
      </w:r>
    </w:p>
    <w:p>
      <w:pPr>
        <w:pStyle w:val="Heading1"/>
        <w:pageBreakBefore/>
      </w:pPr>
      <w:r>
        <w:t>Figure 2. Kitagawa sensitivity to population revision</w:t>
      </w:r>
    </w:p>
    <w:p>
      <w:pPr>
        <w:jc w:val="center"/>
      </w:pPr>
      <w:r>
        <w:drawing>
          <wp:inline xmlns:a="http://schemas.openxmlformats.org/drawingml/2006/main" xmlns:pic="http://schemas.openxmlformats.org/drawingml/2006/picture">
            <wp:extent cx="6126480" cy="3491240"/>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126480" cy="3491240"/>
                    </a:xfrm>
                    <a:prstGeom prst="rect"/>
                  </pic:spPr>
                </pic:pic>
              </a:graphicData>
            </a:graphic>
          </wp:inline>
        </w:drawing>
      </w:r>
    </w:p>
    <w:p>
      <w:pPr>
        <w:pStyle w:val="Caption"/>
      </w:pPr>
      <w:r>
        <w:t>Figure 2. Corrected ≥7 crude-rate changes partitioned into age-composition and age-specific-rate components for six pairs, with IBGE 2018 and 2024. Components sum to net change before rounding and are not causal effects.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Manuscript_BLINDED</dc:title>
  <dc:subject/>
  <dc:creator/>
  <cp:keywords/>
  <dc:description/>
  <cp:lastModifiedBy/>
  <cp:revision>1</cp:revision>
  <dcterms:created xsi:type="dcterms:W3CDTF">2013-12-23T23:15:00Z</dcterms:created>
  <dcterms:modified xsi:type="dcterms:W3CDTF">2013-12-23T23:15:00Z</dcterms:modified>
  <cp:category/>
</cp:coreProperties>
</file>