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w:t>
      </w:r>
      <w:r>
        <w:t xml:space="preserve"> </w:t>
      </w:r>
      <w:r>
        <w:t xml:space="preserve">Reassessing</w:t>
      </w:r>
      <w:r>
        <w:t xml:space="preserve"> </w:t>
      </w:r>
      <w:r>
        <w:t xml:space="preserve">the</w:t>
      </w:r>
      <w:r>
        <w:t xml:space="preserve"> </w:t>
      </w:r>
      <w:r>
        <w:t xml:space="preserve">reported</w:t>
      </w:r>
      <w:r>
        <w:t xml:space="preserve"> </w:t>
      </w:r>
      <w:r>
        <w:t xml:space="preserve">increase</w:t>
      </w:r>
      <w:r>
        <w:t xml:space="preserve"> </w:t>
      </w:r>
      <w:r>
        <w:t xml:space="preserve">in</w:t>
      </w:r>
      <w:r>
        <w:t xml:space="preserve"> </w:t>
      </w:r>
      <w:r>
        <w:t xml:space="preserve">asthma</w:t>
      </w:r>
      <w:r>
        <w:t xml:space="preserve"> </w:t>
      </w:r>
      <w:r>
        <w:t xml:space="preserve">mortality</w:t>
      </w:r>
      <w:r>
        <w:t xml:space="preserve"> </w:t>
      </w:r>
      <w:r>
        <w:t xml:space="preserve">in</w:t>
      </w:r>
      <w:r>
        <w:t xml:space="preserve"> </w:t>
      </w:r>
      <w:r>
        <w:t xml:space="preserve">Brazil:</w:t>
      </w:r>
      <w:r>
        <w:t xml:space="preserve"> </w:t>
      </w:r>
      <w:r>
        <w:t xml:space="preserve">reproduction</w:t>
      </w:r>
      <w:r>
        <w:t xml:space="preserve"> </w:t>
      </w:r>
      <w:r>
        <w:t xml:space="preserve">and</w:t>
      </w:r>
      <w:r>
        <w:t xml:space="preserve"> </w:t>
      </w:r>
      <w:r>
        <w:t xml:space="preserve">age-specific</w:t>
      </w:r>
      <w:r>
        <w:t xml:space="preserve"> </w:t>
      </w:r>
      <w:r>
        <w:t xml:space="preserve">reanalysis,</w:t>
      </w:r>
      <w:r>
        <w:t xml:space="preserve"> </w:t>
      </w:r>
      <w:r>
        <w:t xml:space="preserve">2014–2021</w:t>
      </w:r>
    </w:p>
    <w:p>
      <w:pPr>
        <w:pStyle w:val="TableCaption"/>
      </w:pPr>
      <w:r>
        <w:rPr>
          <w:bCs/>
          <w:b/>
        </w:rPr>
        <w:t xml:space="preserve">Supplementary Table S1.</w:t>
      </w:r>
      <w:r>
        <w:t xml:space="preserve"> </w:t>
      </w:r>
      <w:r>
        <w:t xml:space="preserve">Death records by year and stage of case selection.</w:t>
      </w:r>
      <w:r>
        <w:t xml:space="preserve"> </w:t>
      </w:r>
      <w:r>
        <w:rPr>
          <w:vertAlign w:val="superscript"/>
        </w:rPr>
        <w:t xml:space="preserve">a</w:t>
      </w:r>
      <w:r>
        <w:t xml:space="preserve">After the COVID-19-related exclusion (B34.2, U07.2 or</w:t>
      </w:r>
      <w:r>
        <w:t xml:space="preserve"> </w:t>
      </w:r>
      <w:r>
        <w:t xml:space="preserve">“</w:t>
      </w:r>
      <w:r>
        <w:t xml:space="preserve">COVID-19</w:t>
      </w:r>
      <w:r>
        <w:t xml:space="preserve">”</w:t>
      </w:r>
      <w:r>
        <w:t xml:space="preserve"> </w:t>
      </w:r>
      <w:r>
        <w:t xml:space="preserve">in the cause-of-death lines) and removal of duplicate records. The last column is the sample of the reproduction: asthma deaths above 6 years of age with a valid date of birth.</w:t>
      </w:r>
    </w:p>
    <w:tbl>
      <w:tblPr>
        <w:tblStyle w:val="Table"/>
        <w:tblW w:type="pct" w:w="5000"/>
        <w:tblLook w:firstRow="1" w:lastRow="0" w:firstColumn="0" w:lastColumn="0" w:noHBand="0" w:noVBand="0" w:val="0020"/>
        <w:jc w:val="start"/>
        <w:tblCaption w:val="Supplementary Table S1. Death records by year and stage of case selection. aAfter the COVID-19-related exclusion (B34.2, U07.2 or “COVID-19” in the cause-of-death lines) and removal of duplicate records. The last column is the sample of the reproduction: asthma deaths above 6 years of age with a valid date of birth."/>
      </w:tblPr>
      <w:tblGrid>
        <w:gridCol w:w="1048"/>
        <w:gridCol w:w="1514"/>
        <w:gridCol w:w="1514"/>
        <w:gridCol w:w="1747"/>
        <w:gridCol w:w="1048"/>
        <w:gridCol w:w="1048"/>
      </w:tblGrid>
      <w:tr>
        <w:trPr>
          <w:tblHeader w:val="true"/>
        </w:trPr>
        <w:tc>
          <w:tcPr/>
          <w:p>
            <w:pPr>
              <w:pStyle w:val="Compact"/>
              <w:jc w:val="right"/>
            </w:pPr>
            <w:r>
              <w:t xml:space="preserve">Year</w:t>
            </w:r>
          </w:p>
        </w:tc>
        <w:tc>
          <w:tcPr/>
          <w:p>
            <w:pPr>
              <w:pStyle w:val="Compact"/>
              <w:jc w:val="right"/>
            </w:pPr>
            <w:r>
              <w:t xml:space="preserve">All records</w:t>
            </w:r>
          </w:p>
        </w:tc>
        <w:tc>
          <w:tcPr/>
          <w:p>
            <w:pPr>
              <w:pStyle w:val="Compact"/>
              <w:jc w:val="right"/>
            </w:pPr>
            <w:r>
              <w:t xml:space="preserve">Asthma (J45–J46)</w:t>
            </w:r>
          </w:p>
        </w:tc>
        <w:tc>
          <w:tcPr/>
          <w:p>
            <w:pPr>
              <w:pStyle w:val="Compact"/>
              <w:jc w:val="right"/>
            </w:pPr>
            <w:r>
              <w:t xml:space="preserve">After exclusions</w:t>
            </w:r>
            <w:r>
              <w:rPr>
                <w:vertAlign w:val="superscript"/>
              </w:rPr>
              <w:t xml:space="preserve">a</w:t>
            </w:r>
          </w:p>
        </w:tc>
        <w:tc>
          <w:tcPr/>
          <w:p>
            <w:pPr>
              <w:pStyle w:val="Compact"/>
              <w:jc w:val="right"/>
            </w:pPr>
            <w:r>
              <w:t xml:space="preserve">Valid birth date</w:t>
            </w:r>
          </w:p>
        </w:tc>
        <w:tc>
          <w:tcPr/>
          <w:p>
            <w:pPr>
              <w:pStyle w:val="Compact"/>
              <w:jc w:val="right"/>
            </w:pPr>
            <w:r>
              <w:t xml:space="preserve">Age &gt;6 years</w:t>
            </w:r>
          </w:p>
        </w:tc>
      </w:tr>
      <w:tr>
        <w:tc>
          <w:tcPr/>
          <w:p>
            <w:pPr>
              <w:pStyle w:val="Compact"/>
              <w:jc w:val="right"/>
            </w:pPr>
            <w:r>
              <w:t xml:space="preserve">2014</w:t>
            </w:r>
          </w:p>
        </w:tc>
        <w:tc>
          <w:tcPr/>
          <w:p>
            <w:pPr>
              <w:pStyle w:val="Compact"/>
              <w:jc w:val="right"/>
            </w:pPr>
            <w:r>
              <w:t xml:space="preserve">1,227,039</w:t>
            </w:r>
          </w:p>
        </w:tc>
        <w:tc>
          <w:tcPr/>
          <w:p>
            <w:pPr>
              <w:pStyle w:val="Compact"/>
              <w:jc w:val="right"/>
            </w:pPr>
            <w:r>
              <w:t xml:space="preserve">2,129</w:t>
            </w:r>
          </w:p>
        </w:tc>
        <w:tc>
          <w:tcPr/>
          <w:p>
            <w:pPr>
              <w:pStyle w:val="Compact"/>
              <w:jc w:val="right"/>
            </w:pPr>
            <w:r>
              <w:t xml:space="preserve">2,129</w:t>
            </w:r>
          </w:p>
        </w:tc>
        <w:tc>
          <w:tcPr/>
          <w:p>
            <w:pPr>
              <w:pStyle w:val="Compact"/>
              <w:jc w:val="right"/>
            </w:pPr>
            <w:r>
              <w:t xml:space="preserve">2,127</w:t>
            </w:r>
          </w:p>
        </w:tc>
        <w:tc>
          <w:tcPr/>
          <w:p>
            <w:pPr>
              <w:pStyle w:val="Compact"/>
              <w:jc w:val="right"/>
            </w:pPr>
            <w:r>
              <w:t xml:space="preserve">2,041</w:t>
            </w:r>
          </w:p>
        </w:tc>
      </w:tr>
      <w:tr>
        <w:tc>
          <w:tcPr/>
          <w:p>
            <w:pPr>
              <w:pStyle w:val="Compact"/>
              <w:jc w:val="right"/>
            </w:pPr>
            <w:r>
              <w:t xml:space="preserve">2015</w:t>
            </w:r>
          </w:p>
        </w:tc>
        <w:tc>
          <w:tcPr/>
          <w:p>
            <w:pPr>
              <w:pStyle w:val="Compact"/>
              <w:jc w:val="right"/>
            </w:pPr>
            <w:r>
              <w:t xml:space="preserve">1,264,175</w:t>
            </w:r>
          </w:p>
        </w:tc>
        <w:tc>
          <w:tcPr/>
          <w:p>
            <w:pPr>
              <w:pStyle w:val="Compact"/>
              <w:jc w:val="right"/>
            </w:pPr>
            <w:r>
              <w:t xml:space="preserve">2,232</w:t>
            </w:r>
          </w:p>
        </w:tc>
        <w:tc>
          <w:tcPr/>
          <w:p>
            <w:pPr>
              <w:pStyle w:val="Compact"/>
              <w:jc w:val="right"/>
            </w:pPr>
            <w:r>
              <w:t xml:space="preserve">2,232</w:t>
            </w:r>
          </w:p>
        </w:tc>
        <w:tc>
          <w:tcPr/>
          <w:p>
            <w:pPr>
              <w:pStyle w:val="Compact"/>
              <w:jc w:val="right"/>
            </w:pPr>
            <w:r>
              <w:t xml:space="preserve">2,231</w:t>
            </w:r>
          </w:p>
        </w:tc>
        <w:tc>
          <w:tcPr/>
          <w:p>
            <w:pPr>
              <w:pStyle w:val="Compact"/>
              <w:jc w:val="right"/>
            </w:pPr>
            <w:r>
              <w:t xml:space="preserve">2,148</w:t>
            </w:r>
          </w:p>
        </w:tc>
      </w:tr>
      <w:tr>
        <w:tc>
          <w:tcPr/>
          <w:p>
            <w:pPr>
              <w:pStyle w:val="Compact"/>
              <w:jc w:val="right"/>
            </w:pPr>
            <w:r>
              <w:t xml:space="preserve">2016</w:t>
            </w:r>
          </w:p>
        </w:tc>
        <w:tc>
          <w:tcPr/>
          <w:p>
            <w:pPr>
              <w:pStyle w:val="Compact"/>
              <w:jc w:val="right"/>
            </w:pPr>
            <w:r>
              <w:t xml:space="preserve">1,309,774</w:t>
            </w:r>
          </w:p>
        </w:tc>
        <w:tc>
          <w:tcPr/>
          <w:p>
            <w:pPr>
              <w:pStyle w:val="Compact"/>
              <w:jc w:val="right"/>
            </w:pPr>
            <w:r>
              <w:t xml:space="preserve">2,249</w:t>
            </w:r>
          </w:p>
        </w:tc>
        <w:tc>
          <w:tcPr/>
          <w:p>
            <w:pPr>
              <w:pStyle w:val="Compact"/>
              <w:jc w:val="right"/>
            </w:pPr>
            <w:r>
              <w:t xml:space="preserve">2,249</w:t>
            </w:r>
          </w:p>
        </w:tc>
        <w:tc>
          <w:tcPr/>
          <w:p>
            <w:pPr>
              <w:pStyle w:val="Compact"/>
              <w:jc w:val="right"/>
            </w:pPr>
            <w:r>
              <w:t xml:space="preserve">2,247</w:t>
            </w:r>
          </w:p>
        </w:tc>
        <w:tc>
          <w:tcPr/>
          <w:p>
            <w:pPr>
              <w:pStyle w:val="Compact"/>
              <w:jc w:val="right"/>
            </w:pPr>
            <w:r>
              <w:t xml:space="preserve">2,190</w:t>
            </w:r>
          </w:p>
        </w:tc>
      </w:tr>
      <w:tr>
        <w:tc>
          <w:tcPr/>
          <w:p>
            <w:pPr>
              <w:pStyle w:val="Compact"/>
              <w:jc w:val="right"/>
            </w:pPr>
            <w:r>
              <w:t xml:space="preserve">2017</w:t>
            </w:r>
          </w:p>
        </w:tc>
        <w:tc>
          <w:tcPr/>
          <w:p>
            <w:pPr>
              <w:pStyle w:val="Compact"/>
              <w:jc w:val="right"/>
            </w:pPr>
            <w:r>
              <w:t xml:space="preserve">1,312,663</w:t>
            </w:r>
          </w:p>
        </w:tc>
        <w:tc>
          <w:tcPr/>
          <w:p>
            <w:pPr>
              <w:pStyle w:val="Compact"/>
              <w:jc w:val="right"/>
            </w:pPr>
            <w:r>
              <w:t xml:space="preserve">2,477</w:t>
            </w:r>
          </w:p>
        </w:tc>
        <w:tc>
          <w:tcPr/>
          <w:p>
            <w:pPr>
              <w:pStyle w:val="Compact"/>
              <w:jc w:val="right"/>
            </w:pPr>
            <w:r>
              <w:t xml:space="preserve">2,477</w:t>
            </w:r>
          </w:p>
        </w:tc>
        <w:tc>
          <w:tcPr/>
          <w:p>
            <w:pPr>
              <w:pStyle w:val="Compact"/>
              <w:jc w:val="right"/>
            </w:pPr>
            <w:r>
              <w:t xml:space="preserve">2,476</w:t>
            </w:r>
          </w:p>
        </w:tc>
        <w:tc>
          <w:tcPr/>
          <w:p>
            <w:pPr>
              <w:pStyle w:val="Compact"/>
              <w:jc w:val="right"/>
            </w:pPr>
            <w:r>
              <w:t xml:space="preserve">2,423</w:t>
            </w:r>
          </w:p>
        </w:tc>
      </w:tr>
      <w:tr>
        <w:tc>
          <w:tcPr/>
          <w:p>
            <w:pPr>
              <w:pStyle w:val="Compact"/>
              <w:jc w:val="right"/>
            </w:pPr>
            <w:r>
              <w:t xml:space="preserve">2018</w:t>
            </w:r>
          </w:p>
        </w:tc>
        <w:tc>
          <w:tcPr/>
          <w:p>
            <w:pPr>
              <w:pStyle w:val="Compact"/>
              <w:jc w:val="right"/>
            </w:pPr>
            <w:r>
              <w:t xml:space="preserve">1,316,719</w:t>
            </w:r>
          </w:p>
        </w:tc>
        <w:tc>
          <w:tcPr/>
          <w:p>
            <w:pPr>
              <w:pStyle w:val="Compact"/>
              <w:jc w:val="right"/>
            </w:pPr>
            <w:r>
              <w:t xml:space="preserve">2,307</w:t>
            </w:r>
          </w:p>
        </w:tc>
        <w:tc>
          <w:tcPr/>
          <w:p>
            <w:pPr>
              <w:pStyle w:val="Compact"/>
              <w:jc w:val="right"/>
            </w:pPr>
            <w:r>
              <w:t xml:space="preserve">2,306</w:t>
            </w:r>
          </w:p>
        </w:tc>
        <w:tc>
          <w:tcPr/>
          <w:p>
            <w:pPr>
              <w:pStyle w:val="Compact"/>
              <w:jc w:val="right"/>
            </w:pPr>
            <w:r>
              <w:t xml:space="preserve">2,302</w:t>
            </w:r>
          </w:p>
        </w:tc>
        <w:tc>
          <w:tcPr/>
          <w:p>
            <w:pPr>
              <w:pStyle w:val="Compact"/>
              <w:jc w:val="right"/>
            </w:pPr>
            <w:r>
              <w:t xml:space="preserve">2,249</w:t>
            </w:r>
          </w:p>
        </w:tc>
      </w:tr>
      <w:tr>
        <w:tc>
          <w:tcPr/>
          <w:p>
            <w:pPr>
              <w:pStyle w:val="Compact"/>
              <w:jc w:val="right"/>
            </w:pPr>
            <w:r>
              <w:t xml:space="preserve">2019</w:t>
            </w:r>
          </w:p>
        </w:tc>
        <w:tc>
          <w:tcPr/>
          <w:p>
            <w:pPr>
              <w:pStyle w:val="Compact"/>
              <w:jc w:val="right"/>
            </w:pPr>
            <w:r>
              <w:t xml:space="preserve">1,349,801</w:t>
            </w:r>
          </w:p>
        </w:tc>
        <w:tc>
          <w:tcPr/>
          <w:p>
            <w:pPr>
              <w:pStyle w:val="Compact"/>
              <w:jc w:val="right"/>
            </w:pPr>
            <w:r>
              <w:t xml:space="preserve">2,488</w:t>
            </w:r>
          </w:p>
        </w:tc>
        <w:tc>
          <w:tcPr/>
          <w:p>
            <w:pPr>
              <w:pStyle w:val="Compact"/>
              <w:jc w:val="right"/>
            </w:pPr>
            <w:r>
              <w:t xml:space="preserve">2,488</w:t>
            </w:r>
          </w:p>
        </w:tc>
        <w:tc>
          <w:tcPr/>
          <w:p>
            <w:pPr>
              <w:pStyle w:val="Compact"/>
              <w:jc w:val="right"/>
            </w:pPr>
            <w:r>
              <w:t xml:space="preserve">2,486</w:t>
            </w:r>
          </w:p>
        </w:tc>
        <w:tc>
          <w:tcPr/>
          <w:p>
            <w:pPr>
              <w:pStyle w:val="Compact"/>
              <w:jc w:val="right"/>
            </w:pPr>
            <w:r>
              <w:t xml:space="preserve">2,426</w:t>
            </w:r>
          </w:p>
        </w:tc>
      </w:tr>
      <w:tr>
        <w:tc>
          <w:tcPr/>
          <w:p>
            <w:pPr>
              <w:pStyle w:val="Compact"/>
              <w:jc w:val="right"/>
            </w:pPr>
            <w:r>
              <w:t xml:space="preserve">2020</w:t>
            </w:r>
          </w:p>
        </w:tc>
        <w:tc>
          <w:tcPr/>
          <w:p>
            <w:pPr>
              <w:pStyle w:val="Compact"/>
              <w:jc w:val="right"/>
            </w:pPr>
            <w:r>
              <w:t xml:space="preserve">1,556,824</w:t>
            </w:r>
          </w:p>
        </w:tc>
        <w:tc>
          <w:tcPr/>
          <w:p>
            <w:pPr>
              <w:pStyle w:val="Compact"/>
              <w:jc w:val="right"/>
            </w:pPr>
            <w:r>
              <w:t xml:space="preserve">2,735</w:t>
            </w:r>
          </w:p>
        </w:tc>
        <w:tc>
          <w:tcPr/>
          <w:p>
            <w:pPr>
              <w:pStyle w:val="Compact"/>
              <w:jc w:val="right"/>
            </w:pPr>
            <w:r>
              <w:t xml:space="preserve">2,708</w:t>
            </w:r>
          </w:p>
        </w:tc>
        <w:tc>
          <w:tcPr/>
          <w:p>
            <w:pPr>
              <w:pStyle w:val="Compact"/>
              <w:jc w:val="right"/>
            </w:pPr>
            <w:r>
              <w:t xml:space="preserve">2,705</w:t>
            </w:r>
          </w:p>
        </w:tc>
        <w:tc>
          <w:tcPr/>
          <w:p>
            <w:pPr>
              <w:pStyle w:val="Compact"/>
              <w:jc w:val="right"/>
            </w:pPr>
            <w:r>
              <w:t xml:space="preserve">2,678</w:t>
            </w:r>
          </w:p>
        </w:tc>
      </w:tr>
      <w:tr>
        <w:tc>
          <w:tcPr/>
          <w:p>
            <w:pPr>
              <w:pStyle w:val="Compact"/>
              <w:jc w:val="right"/>
            </w:pPr>
            <w:r>
              <w:t xml:space="preserve">2021</w:t>
            </w:r>
          </w:p>
        </w:tc>
        <w:tc>
          <w:tcPr/>
          <w:p>
            <w:pPr>
              <w:pStyle w:val="Compact"/>
              <w:jc w:val="right"/>
            </w:pPr>
            <w:r>
              <w:t xml:space="preserve">1,832,649</w:t>
            </w:r>
          </w:p>
        </w:tc>
        <w:tc>
          <w:tcPr/>
          <w:p>
            <w:pPr>
              <w:pStyle w:val="Compact"/>
              <w:jc w:val="right"/>
            </w:pPr>
            <w:r>
              <w:t xml:space="preserve">2,488</w:t>
            </w:r>
          </w:p>
        </w:tc>
        <w:tc>
          <w:tcPr/>
          <w:p>
            <w:pPr>
              <w:pStyle w:val="Compact"/>
              <w:jc w:val="right"/>
            </w:pPr>
            <w:r>
              <w:t xml:space="preserve">2,459</w:t>
            </w:r>
          </w:p>
        </w:tc>
        <w:tc>
          <w:tcPr/>
          <w:p>
            <w:pPr>
              <w:pStyle w:val="Compact"/>
              <w:jc w:val="right"/>
            </w:pPr>
            <w:r>
              <w:t xml:space="preserve">2,459</w:t>
            </w:r>
          </w:p>
        </w:tc>
        <w:tc>
          <w:tcPr/>
          <w:p>
            <w:pPr>
              <w:pStyle w:val="Compact"/>
              <w:jc w:val="right"/>
            </w:pPr>
            <w:r>
              <w:t xml:space="preserve">2,428</w:t>
            </w:r>
          </w:p>
        </w:tc>
      </w:tr>
      <w:tr>
        <w:tc>
          <w:tcPr/>
          <w:p>
            <w:pPr>
              <w:pStyle w:val="Compact"/>
              <w:jc w:val="right"/>
            </w:pPr>
            <w:r>
              <w:t xml:space="preserve">Total</w:t>
            </w:r>
          </w:p>
        </w:tc>
        <w:tc>
          <w:tcPr/>
          <w:p>
            <w:pPr>
              <w:pStyle w:val="Compact"/>
              <w:jc w:val="right"/>
            </w:pPr>
            <w:r>
              <w:t xml:space="preserve">11,169,644</w:t>
            </w:r>
          </w:p>
        </w:tc>
        <w:tc>
          <w:tcPr/>
          <w:p>
            <w:pPr>
              <w:pStyle w:val="Compact"/>
              <w:jc w:val="right"/>
            </w:pPr>
            <w:r>
              <w:t xml:space="preserve">19,105</w:t>
            </w:r>
          </w:p>
        </w:tc>
        <w:tc>
          <w:tcPr/>
          <w:p>
            <w:pPr>
              <w:pStyle w:val="Compact"/>
              <w:jc w:val="right"/>
            </w:pPr>
            <w:r>
              <w:t xml:space="preserve">19,048</w:t>
            </w:r>
          </w:p>
        </w:tc>
        <w:tc>
          <w:tcPr/>
          <w:p>
            <w:pPr>
              <w:pStyle w:val="Compact"/>
              <w:jc w:val="right"/>
            </w:pPr>
            <w:r>
              <w:t xml:space="preserve">19,033</w:t>
            </w:r>
          </w:p>
        </w:tc>
        <w:tc>
          <w:tcPr/>
          <w:p>
            <w:pPr>
              <w:pStyle w:val="Compact"/>
              <w:jc w:val="right"/>
            </w:pPr>
            <w:r>
              <w:t xml:space="preserve">18,583</w:t>
            </w:r>
          </w:p>
        </w:tc>
      </w:tr>
    </w:tbl>
    <w:p/>
    <w:p>
      <w:pPr>
        <w:pStyle w:val="TableCaption"/>
      </w:pPr>
      <w:r>
        <w:rPr>
          <w:bCs/>
          <w:b/>
        </w:rPr>
        <w:t xml:space="preserve">Supplementary Table S2.</w:t>
      </w:r>
      <w:r>
        <w:t xml:space="preserve"> </w:t>
      </w:r>
      <w:r>
        <w:t xml:space="preserve">Deaths (upper panel) and rates per 100,000 (lower panel) by year. The crude national rate uses deaths above 6 years of age and the total population; the age-standardised rate uses the 2014 Brazilian age distribution within completed ages of 7 or more. Rates for the age groups are per 100,000 persons of that age. Population: IBGE 2018 projection.</w:t>
      </w:r>
    </w:p>
    <w:tbl>
      <w:tblPr>
        <w:tblStyle w:val="Table"/>
        <w:tblW w:type="pct" w:w="5000"/>
        <w:tblLook w:firstRow="1" w:lastRow="0" w:firstColumn="0" w:lastColumn="0" w:noHBand="0" w:noVBand="0" w:val="0020"/>
        <w:jc w:val="start"/>
        <w:tblCaption w:val="Supplementary Table S2. Deaths (upper panel) and rates per 100,000 (lower panel) by year. The crude national rate uses deaths above 6 years of age and the total population; the age-standardised rate uses the 2014 Brazilian age distribution within completed ages of 7 or more. Rates for the age groups are per 100,000 persons of that age. Population: IBGE 2018 projection."/>
      </w:tblPr>
      <w:tblGrid>
        <w:gridCol w:w="1584"/>
        <w:gridCol w:w="792"/>
        <w:gridCol w:w="792"/>
        <w:gridCol w:w="792"/>
        <w:gridCol w:w="792"/>
        <w:gridCol w:w="792"/>
        <w:gridCol w:w="792"/>
        <w:gridCol w:w="792"/>
        <w:gridCol w:w="792"/>
      </w:tblGrid>
      <w:tr>
        <w:trPr>
          <w:tblHeader w:val="true"/>
        </w:trPr>
        <w:tc>
          <w:tcPr/>
          <w:p>
            <w:pPr>
              <w:pStyle w:val="Compact"/>
              <w:jc w:val="left"/>
            </w:pPr>
            <w:r>
              <w:t xml:space="preserve">Series</w:t>
            </w:r>
          </w:p>
        </w:tc>
        <w:tc>
          <w:tcPr/>
          <w:p>
            <w:pPr>
              <w:pStyle w:val="Compact"/>
              <w:jc w:val="right"/>
            </w:pPr>
            <w:r>
              <w:t xml:space="preserve">2014</w:t>
            </w:r>
          </w:p>
        </w:tc>
        <w:tc>
          <w:tcPr/>
          <w:p>
            <w:pPr>
              <w:pStyle w:val="Compact"/>
              <w:jc w:val="right"/>
            </w:pPr>
            <w:r>
              <w:t xml:space="preserve">2015</w:t>
            </w:r>
          </w:p>
        </w:tc>
        <w:tc>
          <w:tcPr/>
          <w:p>
            <w:pPr>
              <w:pStyle w:val="Compact"/>
              <w:jc w:val="right"/>
            </w:pPr>
            <w:r>
              <w:t xml:space="preserve">2016</w:t>
            </w:r>
          </w:p>
        </w:tc>
        <w:tc>
          <w:tcPr/>
          <w:p>
            <w:pPr>
              <w:pStyle w:val="Compact"/>
              <w:jc w:val="right"/>
            </w:pPr>
            <w:r>
              <w:t xml:space="preserve">2017</w:t>
            </w:r>
          </w:p>
        </w:tc>
        <w:tc>
          <w:tcPr/>
          <w:p>
            <w:pPr>
              <w:pStyle w:val="Compact"/>
              <w:jc w:val="right"/>
            </w:pPr>
            <w:r>
              <w:t xml:space="preserve">2018</w:t>
            </w:r>
          </w:p>
        </w:tc>
        <w:tc>
          <w:tcPr/>
          <w:p>
            <w:pPr>
              <w:pStyle w:val="Compact"/>
              <w:jc w:val="right"/>
            </w:pPr>
            <w:r>
              <w:t xml:space="preserve">2019</w:t>
            </w:r>
          </w:p>
        </w:tc>
        <w:tc>
          <w:tcPr/>
          <w:p>
            <w:pPr>
              <w:pStyle w:val="Compact"/>
              <w:jc w:val="right"/>
            </w:pPr>
            <w:r>
              <w:t xml:space="preserve">2020</w:t>
            </w:r>
          </w:p>
        </w:tc>
        <w:tc>
          <w:tcPr/>
          <w:p>
            <w:pPr>
              <w:pStyle w:val="Compact"/>
              <w:jc w:val="right"/>
            </w:pPr>
            <w:r>
              <w:t xml:space="preserve">2021</w:t>
            </w:r>
          </w:p>
        </w:tc>
      </w:tr>
      <w:tr>
        <w:tc>
          <w:tcPr/>
          <w:p>
            <w:pPr>
              <w:pStyle w:val="Compact"/>
              <w:jc w:val="left"/>
            </w:pPr>
            <w:r>
              <w:rPr>
                <w:iCs/>
                <w:i/>
              </w:rPr>
              <w:t xml:space="preserve">Deaths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Crude national rate</w:t>
            </w:r>
          </w:p>
        </w:tc>
        <w:tc>
          <w:tcPr/>
          <w:p>
            <w:pPr>
              <w:pStyle w:val="Compact"/>
              <w:jc w:val="right"/>
            </w:pPr>
            <w:r>
              <w:t xml:space="preserve">2,041</w:t>
            </w:r>
          </w:p>
        </w:tc>
        <w:tc>
          <w:tcPr/>
          <w:p>
            <w:pPr>
              <w:pStyle w:val="Compact"/>
              <w:jc w:val="right"/>
            </w:pPr>
            <w:r>
              <w:t xml:space="preserve">2,148</w:t>
            </w:r>
          </w:p>
        </w:tc>
        <w:tc>
          <w:tcPr/>
          <w:p>
            <w:pPr>
              <w:pStyle w:val="Compact"/>
              <w:jc w:val="right"/>
            </w:pPr>
            <w:r>
              <w:t xml:space="preserve">2,190</w:t>
            </w:r>
          </w:p>
        </w:tc>
        <w:tc>
          <w:tcPr/>
          <w:p>
            <w:pPr>
              <w:pStyle w:val="Compact"/>
              <w:jc w:val="right"/>
            </w:pPr>
            <w:r>
              <w:t xml:space="preserve">2,423</w:t>
            </w:r>
          </w:p>
        </w:tc>
        <w:tc>
          <w:tcPr/>
          <w:p>
            <w:pPr>
              <w:pStyle w:val="Compact"/>
              <w:jc w:val="right"/>
            </w:pPr>
            <w:r>
              <w:t xml:space="preserve">2,249</w:t>
            </w:r>
          </w:p>
        </w:tc>
        <w:tc>
          <w:tcPr/>
          <w:p>
            <w:pPr>
              <w:pStyle w:val="Compact"/>
              <w:jc w:val="right"/>
            </w:pPr>
            <w:r>
              <w:t xml:space="preserve">2,426</w:t>
            </w:r>
          </w:p>
        </w:tc>
        <w:tc>
          <w:tcPr/>
          <w:p>
            <w:pPr>
              <w:pStyle w:val="Compact"/>
              <w:jc w:val="right"/>
            </w:pPr>
            <w:r>
              <w:t xml:space="preserve">2,678</w:t>
            </w:r>
          </w:p>
        </w:tc>
        <w:tc>
          <w:tcPr/>
          <w:p>
            <w:pPr>
              <w:pStyle w:val="Compact"/>
              <w:jc w:val="right"/>
            </w:pPr>
            <w:r>
              <w:t xml:space="preserve">2,428</w:t>
            </w:r>
          </w:p>
        </w:tc>
      </w:tr>
      <w:tr>
        <w:tc>
          <w:tcPr/>
          <w:p>
            <w:pPr>
              <w:pStyle w:val="Compact"/>
              <w:jc w:val="left"/>
            </w:pPr>
            <w:r>
              <w:t xml:space="preserve">Age-standardised (Brazil 2014)</w:t>
            </w:r>
          </w:p>
        </w:tc>
        <w:tc>
          <w:tcPr/>
          <w:p>
            <w:pPr>
              <w:pStyle w:val="Compact"/>
              <w:jc w:val="right"/>
            </w:pPr>
            <w:r>
              <w:t xml:space="preserve">2,035</w:t>
            </w:r>
          </w:p>
        </w:tc>
        <w:tc>
          <w:tcPr/>
          <w:p>
            <w:pPr>
              <w:pStyle w:val="Compact"/>
              <w:jc w:val="right"/>
            </w:pPr>
            <w:r>
              <w:t xml:space="preserve">2,142</w:t>
            </w:r>
          </w:p>
        </w:tc>
        <w:tc>
          <w:tcPr/>
          <w:p>
            <w:pPr>
              <w:pStyle w:val="Compact"/>
              <w:jc w:val="right"/>
            </w:pPr>
            <w:r>
              <w:t xml:space="preserve">2,187</w:t>
            </w:r>
          </w:p>
        </w:tc>
        <w:tc>
          <w:tcPr/>
          <w:p>
            <w:pPr>
              <w:pStyle w:val="Compact"/>
              <w:jc w:val="right"/>
            </w:pPr>
            <w:r>
              <w:t xml:space="preserve">2,418</w:t>
            </w:r>
          </w:p>
        </w:tc>
        <w:tc>
          <w:tcPr/>
          <w:p>
            <w:pPr>
              <w:pStyle w:val="Compact"/>
              <w:jc w:val="right"/>
            </w:pPr>
            <w:r>
              <w:t xml:space="preserve">2,243</w:t>
            </w:r>
          </w:p>
        </w:tc>
        <w:tc>
          <w:tcPr/>
          <w:p>
            <w:pPr>
              <w:pStyle w:val="Compact"/>
              <w:jc w:val="right"/>
            </w:pPr>
            <w:r>
              <w:t xml:space="preserve">2,419</w:t>
            </w:r>
          </w:p>
        </w:tc>
        <w:tc>
          <w:tcPr/>
          <w:p>
            <w:pPr>
              <w:pStyle w:val="Compact"/>
              <w:jc w:val="right"/>
            </w:pPr>
            <w:r>
              <w:t xml:space="preserve">2,677</w:t>
            </w:r>
          </w:p>
        </w:tc>
        <w:tc>
          <w:tcPr/>
          <w:p>
            <w:pPr>
              <w:pStyle w:val="Compact"/>
              <w:jc w:val="right"/>
            </w:pPr>
            <w:r>
              <w:t xml:space="preserve">2,423</w:t>
            </w:r>
          </w:p>
        </w:tc>
      </w:tr>
      <w:tr>
        <w:tc>
          <w:tcPr/>
          <w:p>
            <w:pPr>
              <w:pStyle w:val="Compact"/>
              <w:jc w:val="left"/>
            </w:pPr>
            <w:r>
              <w:t xml:space="preserve">Ages 5–34</w:t>
            </w:r>
          </w:p>
        </w:tc>
        <w:tc>
          <w:tcPr/>
          <w:p>
            <w:pPr>
              <w:pStyle w:val="Compact"/>
              <w:jc w:val="right"/>
            </w:pPr>
            <w:r>
              <w:t xml:space="preserve">182</w:t>
            </w:r>
          </w:p>
        </w:tc>
        <w:tc>
          <w:tcPr/>
          <w:p>
            <w:pPr>
              <w:pStyle w:val="Compact"/>
              <w:jc w:val="right"/>
            </w:pPr>
            <w:r>
              <w:t xml:space="preserve">189</w:t>
            </w:r>
          </w:p>
        </w:tc>
        <w:tc>
          <w:tcPr/>
          <w:p>
            <w:pPr>
              <w:pStyle w:val="Compact"/>
              <w:jc w:val="right"/>
            </w:pPr>
            <w:r>
              <w:t xml:space="preserve">184</w:t>
            </w:r>
          </w:p>
        </w:tc>
        <w:tc>
          <w:tcPr/>
          <w:p>
            <w:pPr>
              <w:pStyle w:val="Compact"/>
              <w:jc w:val="right"/>
            </w:pPr>
            <w:r>
              <w:t xml:space="preserve">172</w:t>
            </w:r>
          </w:p>
        </w:tc>
        <w:tc>
          <w:tcPr/>
          <w:p>
            <w:pPr>
              <w:pStyle w:val="Compact"/>
              <w:jc w:val="right"/>
            </w:pPr>
            <w:r>
              <w:t xml:space="preserve">200</w:t>
            </w:r>
          </w:p>
        </w:tc>
        <w:tc>
          <w:tcPr/>
          <w:p>
            <w:pPr>
              <w:pStyle w:val="Compact"/>
              <w:jc w:val="right"/>
            </w:pPr>
            <w:r>
              <w:t xml:space="preserve">218</w:t>
            </w:r>
          </w:p>
        </w:tc>
        <w:tc>
          <w:tcPr/>
          <w:p>
            <w:pPr>
              <w:pStyle w:val="Compact"/>
              <w:jc w:val="right"/>
            </w:pPr>
            <w:r>
              <w:t xml:space="preserve">236</w:t>
            </w:r>
          </w:p>
        </w:tc>
        <w:tc>
          <w:tcPr/>
          <w:p>
            <w:pPr>
              <w:pStyle w:val="Compact"/>
              <w:jc w:val="right"/>
            </w:pPr>
            <w:r>
              <w:t xml:space="preserve">210</w:t>
            </w:r>
          </w:p>
        </w:tc>
      </w:tr>
      <w:tr>
        <w:tc>
          <w:tcPr/>
          <w:p>
            <w:pPr>
              <w:pStyle w:val="Compact"/>
              <w:jc w:val="left"/>
            </w:pPr>
            <w:r>
              <w:t xml:space="preserve">Ages 7–34</w:t>
            </w:r>
          </w:p>
        </w:tc>
        <w:tc>
          <w:tcPr/>
          <w:p>
            <w:pPr>
              <w:pStyle w:val="Compact"/>
              <w:jc w:val="right"/>
            </w:pPr>
            <w:r>
              <w:t xml:space="preserve">171</w:t>
            </w:r>
          </w:p>
        </w:tc>
        <w:tc>
          <w:tcPr/>
          <w:p>
            <w:pPr>
              <w:pStyle w:val="Compact"/>
              <w:jc w:val="right"/>
            </w:pPr>
            <w:r>
              <w:t xml:space="preserve">174</w:t>
            </w:r>
          </w:p>
        </w:tc>
        <w:tc>
          <w:tcPr/>
          <w:p>
            <w:pPr>
              <w:pStyle w:val="Compact"/>
              <w:jc w:val="right"/>
            </w:pPr>
            <w:r>
              <w:t xml:space="preserve">179</w:t>
            </w:r>
          </w:p>
        </w:tc>
        <w:tc>
          <w:tcPr/>
          <w:p>
            <w:pPr>
              <w:pStyle w:val="Compact"/>
              <w:jc w:val="right"/>
            </w:pPr>
            <w:r>
              <w:t xml:space="preserve">164</w:t>
            </w:r>
          </w:p>
        </w:tc>
        <w:tc>
          <w:tcPr/>
          <w:p>
            <w:pPr>
              <w:pStyle w:val="Compact"/>
              <w:jc w:val="right"/>
            </w:pPr>
            <w:r>
              <w:t xml:space="preserve">190</w:t>
            </w:r>
          </w:p>
        </w:tc>
        <w:tc>
          <w:tcPr/>
          <w:p>
            <w:pPr>
              <w:pStyle w:val="Compact"/>
              <w:jc w:val="right"/>
            </w:pPr>
            <w:r>
              <w:t xml:space="preserve">208</w:t>
            </w:r>
          </w:p>
        </w:tc>
        <w:tc>
          <w:tcPr/>
          <w:p>
            <w:pPr>
              <w:pStyle w:val="Compact"/>
              <w:jc w:val="right"/>
            </w:pPr>
            <w:r>
              <w:t xml:space="preserve">232</w:t>
            </w:r>
          </w:p>
        </w:tc>
        <w:tc>
          <w:tcPr/>
          <w:p>
            <w:pPr>
              <w:pStyle w:val="Compact"/>
              <w:jc w:val="right"/>
            </w:pPr>
            <w:r>
              <w:t xml:space="preserve">202</w:t>
            </w:r>
          </w:p>
        </w:tc>
      </w:tr>
      <w:tr>
        <w:tc>
          <w:tcPr/>
          <w:p>
            <w:pPr>
              <w:pStyle w:val="Compact"/>
              <w:jc w:val="left"/>
            </w:pPr>
            <w:r>
              <w:t xml:space="preserve">Ages 35–59</w:t>
            </w:r>
          </w:p>
        </w:tc>
        <w:tc>
          <w:tcPr/>
          <w:p>
            <w:pPr>
              <w:pStyle w:val="Compact"/>
              <w:jc w:val="right"/>
            </w:pPr>
            <w:r>
              <w:t xml:space="preserve">452</w:t>
            </w:r>
          </w:p>
        </w:tc>
        <w:tc>
          <w:tcPr/>
          <w:p>
            <w:pPr>
              <w:pStyle w:val="Compact"/>
              <w:jc w:val="right"/>
            </w:pPr>
            <w:r>
              <w:t xml:space="preserve">485</w:t>
            </w:r>
          </w:p>
        </w:tc>
        <w:tc>
          <w:tcPr/>
          <w:p>
            <w:pPr>
              <w:pStyle w:val="Compact"/>
              <w:jc w:val="right"/>
            </w:pPr>
            <w:r>
              <w:t xml:space="preserve">515</w:t>
            </w:r>
          </w:p>
        </w:tc>
        <w:tc>
          <w:tcPr/>
          <w:p>
            <w:pPr>
              <w:pStyle w:val="Compact"/>
              <w:jc w:val="right"/>
            </w:pPr>
            <w:r>
              <w:t xml:space="preserve">567</w:t>
            </w:r>
          </w:p>
        </w:tc>
        <w:tc>
          <w:tcPr/>
          <w:p>
            <w:pPr>
              <w:pStyle w:val="Compact"/>
              <w:jc w:val="right"/>
            </w:pPr>
            <w:r>
              <w:t xml:space="preserve">504</w:t>
            </w:r>
          </w:p>
        </w:tc>
        <w:tc>
          <w:tcPr/>
          <w:p>
            <w:pPr>
              <w:pStyle w:val="Compact"/>
              <w:jc w:val="right"/>
            </w:pPr>
            <w:r>
              <w:t xml:space="preserve">524</w:t>
            </w:r>
          </w:p>
        </w:tc>
        <w:tc>
          <w:tcPr/>
          <w:p>
            <w:pPr>
              <w:pStyle w:val="Compact"/>
              <w:jc w:val="right"/>
            </w:pPr>
            <w:r>
              <w:t xml:space="preserve">709</w:t>
            </w:r>
          </w:p>
        </w:tc>
        <w:tc>
          <w:tcPr/>
          <w:p>
            <w:pPr>
              <w:pStyle w:val="Compact"/>
              <w:jc w:val="right"/>
            </w:pPr>
            <w:r>
              <w:t xml:space="preserve">591</w:t>
            </w:r>
          </w:p>
        </w:tc>
      </w:tr>
      <w:tr>
        <w:tc>
          <w:tcPr/>
          <w:p>
            <w:pPr>
              <w:pStyle w:val="Compact"/>
              <w:jc w:val="left"/>
            </w:pPr>
            <w:r>
              <w:rPr>
                <w:iCs/>
                <w:i/>
              </w:rPr>
              <w:t xml:space="preserve">Rate per 100,000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Crude national rate</w:t>
            </w:r>
          </w:p>
        </w:tc>
        <w:tc>
          <w:tcPr/>
          <w:p>
            <w:pPr>
              <w:pStyle w:val="Compact"/>
              <w:jc w:val="right"/>
            </w:pPr>
            <w:r>
              <w:t xml:space="preserve">1.012</w:t>
            </w:r>
          </w:p>
        </w:tc>
        <w:tc>
          <w:tcPr/>
          <w:p>
            <w:pPr>
              <w:pStyle w:val="Compact"/>
              <w:jc w:val="right"/>
            </w:pPr>
            <w:r>
              <w:t xml:space="preserve">1.056</w:t>
            </w:r>
          </w:p>
        </w:tc>
        <w:tc>
          <w:tcPr/>
          <w:p>
            <w:pPr>
              <w:pStyle w:val="Compact"/>
              <w:jc w:val="right"/>
            </w:pPr>
            <w:r>
              <w:t xml:space="preserve">1.067</w:t>
            </w:r>
          </w:p>
        </w:tc>
        <w:tc>
          <w:tcPr/>
          <w:p>
            <w:pPr>
              <w:pStyle w:val="Compact"/>
              <w:jc w:val="right"/>
            </w:pPr>
            <w:r>
              <w:t xml:space="preserve">1.172</w:t>
            </w:r>
          </w:p>
        </w:tc>
        <w:tc>
          <w:tcPr/>
          <w:p>
            <w:pPr>
              <w:pStyle w:val="Compact"/>
              <w:jc w:val="right"/>
            </w:pPr>
            <w:r>
              <w:t xml:space="preserve">1.079</w:t>
            </w:r>
          </w:p>
        </w:tc>
        <w:tc>
          <w:tcPr/>
          <w:p>
            <w:pPr>
              <w:pStyle w:val="Compact"/>
              <w:jc w:val="right"/>
            </w:pPr>
            <w:r>
              <w:t xml:space="preserve">1.154</w:t>
            </w:r>
          </w:p>
        </w:tc>
        <w:tc>
          <w:tcPr/>
          <w:p>
            <w:pPr>
              <w:pStyle w:val="Compact"/>
              <w:jc w:val="right"/>
            </w:pPr>
            <w:r>
              <w:t xml:space="preserve">1.265</w:t>
            </w:r>
          </w:p>
        </w:tc>
        <w:tc>
          <w:tcPr/>
          <w:p>
            <w:pPr>
              <w:pStyle w:val="Compact"/>
              <w:jc w:val="right"/>
            </w:pPr>
            <w:r>
              <w:t xml:space="preserve">1.138</w:t>
            </w:r>
          </w:p>
        </w:tc>
      </w:tr>
      <w:tr>
        <w:tc>
          <w:tcPr/>
          <w:p>
            <w:pPr>
              <w:pStyle w:val="Compact"/>
              <w:jc w:val="left"/>
            </w:pPr>
            <w:r>
              <w:t xml:space="preserve">Age-standardised (Brazil 2014)</w:t>
            </w:r>
          </w:p>
        </w:tc>
        <w:tc>
          <w:tcPr/>
          <w:p>
            <w:pPr>
              <w:pStyle w:val="Compact"/>
              <w:jc w:val="right"/>
            </w:pPr>
            <w:r>
              <w:t xml:space="preserve">1.123</w:t>
            </w:r>
          </w:p>
        </w:tc>
        <w:tc>
          <w:tcPr/>
          <w:p>
            <w:pPr>
              <w:pStyle w:val="Compact"/>
              <w:jc w:val="right"/>
            </w:pPr>
            <w:r>
              <w:t xml:space="preserve">1.144</w:t>
            </w:r>
          </w:p>
        </w:tc>
        <w:tc>
          <w:tcPr/>
          <w:p>
            <w:pPr>
              <w:pStyle w:val="Compact"/>
              <w:jc w:val="right"/>
            </w:pPr>
            <w:r>
              <w:t xml:space="preserve">1.132</w:t>
            </w:r>
          </w:p>
        </w:tc>
        <w:tc>
          <w:tcPr/>
          <w:p>
            <w:pPr>
              <w:pStyle w:val="Compact"/>
              <w:jc w:val="right"/>
            </w:pPr>
            <w:r>
              <w:t xml:space="preserve">1.209</w:t>
            </w:r>
          </w:p>
        </w:tc>
        <w:tc>
          <w:tcPr/>
          <w:p>
            <w:pPr>
              <w:pStyle w:val="Compact"/>
              <w:jc w:val="right"/>
            </w:pPr>
            <w:r>
              <w:t xml:space="preserve">1.089</w:t>
            </w:r>
          </w:p>
        </w:tc>
        <w:tc>
          <w:tcPr/>
          <w:p>
            <w:pPr>
              <w:pStyle w:val="Compact"/>
              <w:jc w:val="right"/>
            </w:pPr>
            <w:r>
              <w:t xml:space="preserve">1.140</w:t>
            </w:r>
          </w:p>
        </w:tc>
        <w:tc>
          <w:tcPr/>
          <w:p>
            <w:pPr>
              <w:pStyle w:val="Compact"/>
              <w:jc w:val="right"/>
            </w:pPr>
            <w:r>
              <w:t xml:space="preserve">1.230</w:t>
            </w:r>
          </w:p>
        </w:tc>
        <w:tc>
          <w:tcPr/>
          <w:p>
            <w:pPr>
              <w:pStyle w:val="Compact"/>
              <w:jc w:val="right"/>
            </w:pPr>
            <w:r>
              <w:t xml:space="preserve">1.078</w:t>
            </w:r>
          </w:p>
        </w:tc>
      </w:tr>
      <w:tr>
        <w:tc>
          <w:tcPr/>
          <w:p>
            <w:pPr>
              <w:pStyle w:val="Compact"/>
              <w:jc w:val="left"/>
            </w:pPr>
            <w:r>
              <w:t xml:space="preserve">Ages 5–34</w:t>
            </w:r>
          </w:p>
        </w:tc>
        <w:tc>
          <w:tcPr/>
          <w:p>
            <w:pPr>
              <w:pStyle w:val="Compact"/>
              <w:jc w:val="right"/>
            </w:pPr>
            <w:r>
              <w:t xml:space="preserve">0.182</w:t>
            </w:r>
          </w:p>
        </w:tc>
        <w:tc>
          <w:tcPr/>
          <w:p>
            <w:pPr>
              <w:pStyle w:val="Compact"/>
              <w:jc w:val="right"/>
            </w:pPr>
            <w:r>
              <w:t xml:space="preserve">0.190</w:t>
            </w:r>
          </w:p>
        </w:tc>
        <w:tc>
          <w:tcPr/>
          <w:p>
            <w:pPr>
              <w:pStyle w:val="Compact"/>
              <w:jc w:val="right"/>
            </w:pPr>
            <w:r>
              <w:t xml:space="preserve">0.186</w:t>
            </w:r>
          </w:p>
        </w:tc>
        <w:tc>
          <w:tcPr/>
          <w:p>
            <w:pPr>
              <w:pStyle w:val="Compact"/>
              <w:jc w:val="right"/>
            </w:pPr>
            <w:r>
              <w:t xml:space="preserve">0.175</w:t>
            </w:r>
          </w:p>
        </w:tc>
        <w:tc>
          <w:tcPr/>
          <w:p>
            <w:pPr>
              <w:pStyle w:val="Compact"/>
              <w:jc w:val="right"/>
            </w:pPr>
            <w:r>
              <w:t xml:space="preserve">0.204</w:t>
            </w:r>
          </w:p>
        </w:tc>
        <w:tc>
          <w:tcPr/>
          <w:p>
            <w:pPr>
              <w:pStyle w:val="Compact"/>
              <w:jc w:val="right"/>
            </w:pPr>
            <w:r>
              <w:t xml:space="preserve">0.224</w:t>
            </w:r>
          </w:p>
        </w:tc>
        <w:tc>
          <w:tcPr/>
          <w:p>
            <w:pPr>
              <w:pStyle w:val="Compact"/>
              <w:jc w:val="right"/>
            </w:pPr>
            <w:r>
              <w:t xml:space="preserve">0.244</w:t>
            </w:r>
          </w:p>
        </w:tc>
        <w:tc>
          <w:tcPr/>
          <w:p>
            <w:pPr>
              <w:pStyle w:val="Compact"/>
              <w:jc w:val="right"/>
            </w:pPr>
            <w:r>
              <w:t xml:space="preserve">0.219</w:t>
            </w:r>
          </w:p>
        </w:tc>
      </w:tr>
      <w:tr>
        <w:tc>
          <w:tcPr/>
          <w:p>
            <w:pPr>
              <w:pStyle w:val="Compact"/>
              <w:jc w:val="left"/>
            </w:pPr>
            <w:r>
              <w:t xml:space="preserve">Ages 7–34</w:t>
            </w:r>
          </w:p>
        </w:tc>
        <w:tc>
          <w:tcPr/>
          <w:p>
            <w:pPr>
              <w:pStyle w:val="Compact"/>
              <w:jc w:val="right"/>
            </w:pPr>
            <w:r>
              <w:t xml:space="preserve">0.181</w:t>
            </w:r>
          </w:p>
        </w:tc>
        <w:tc>
          <w:tcPr/>
          <w:p>
            <w:pPr>
              <w:pStyle w:val="Compact"/>
              <w:jc w:val="right"/>
            </w:pPr>
            <w:r>
              <w:t xml:space="preserve">0.186</w:t>
            </w:r>
          </w:p>
        </w:tc>
        <w:tc>
          <w:tcPr/>
          <w:p>
            <w:pPr>
              <w:pStyle w:val="Compact"/>
              <w:jc w:val="right"/>
            </w:pPr>
            <w:r>
              <w:t xml:space="preserve">0.192</w:t>
            </w:r>
          </w:p>
        </w:tc>
        <w:tc>
          <w:tcPr/>
          <w:p>
            <w:pPr>
              <w:pStyle w:val="Compact"/>
              <w:jc w:val="right"/>
            </w:pPr>
            <w:r>
              <w:t xml:space="preserve">0.177</w:t>
            </w:r>
          </w:p>
        </w:tc>
        <w:tc>
          <w:tcPr/>
          <w:p>
            <w:pPr>
              <w:pStyle w:val="Compact"/>
              <w:jc w:val="right"/>
            </w:pPr>
            <w:r>
              <w:t xml:space="preserve">0.207</w:t>
            </w:r>
          </w:p>
        </w:tc>
        <w:tc>
          <w:tcPr/>
          <w:p>
            <w:pPr>
              <w:pStyle w:val="Compact"/>
              <w:jc w:val="right"/>
            </w:pPr>
            <w:r>
              <w:t xml:space="preserve">0.228</w:t>
            </w:r>
          </w:p>
        </w:tc>
        <w:tc>
          <w:tcPr/>
          <w:p>
            <w:pPr>
              <w:pStyle w:val="Compact"/>
              <w:jc w:val="right"/>
            </w:pPr>
            <w:r>
              <w:t xml:space="preserve">0.256</w:t>
            </w:r>
          </w:p>
        </w:tc>
        <w:tc>
          <w:tcPr/>
          <w:p>
            <w:pPr>
              <w:pStyle w:val="Compact"/>
              <w:jc w:val="right"/>
            </w:pPr>
            <w:r>
              <w:t xml:space="preserve">0.224</w:t>
            </w:r>
          </w:p>
        </w:tc>
      </w:tr>
      <w:tr>
        <w:tc>
          <w:tcPr/>
          <w:p>
            <w:pPr>
              <w:pStyle w:val="Compact"/>
              <w:jc w:val="left"/>
            </w:pPr>
            <w:r>
              <w:t xml:space="preserve">Ages 35–59</w:t>
            </w:r>
          </w:p>
        </w:tc>
        <w:tc>
          <w:tcPr/>
          <w:p>
            <w:pPr>
              <w:pStyle w:val="Compact"/>
              <w:jc w:val="right"/>
            </w:pPr>
            <w:r>
              <w:t xml:space="preserve">0.719</w:t>
            </w:r>
          </w:p>
        </w:tc>
        <w:tc>
          <w:tcPr/>
          <w:p>
            <w:pPr>
              <w:pStyle w:val="Compact"/>
              <w:jc w:val="right"/>
            </w:pPr>
            <w:r>
              <w:t xml:space="preserve">0.756</w:t>
            </w:r>
          </w:p>
        </w:tc>
        <w:tc>
          <w:tcPr/>
          <w:p>
            <w:pPr>
              <w:pStyle w:val="Compact"/>
              <w:jc w:val="right"/>
            </w:pPr>
            <w:r>
              <w:t xml:space="preserve">0.787</w:t>
            </w:r>
          </w:p>
        </w:tc>
        <w:tc>
          <w:tcPr/>
          <w:p>
            <w:pPr>
              <w:pStyle w:val="Compact"/>
              <w:jc w:val="right"/>
            </w:pPr>
            <w:r>
              <w:t xml:space="preserve">0.851</w:t>
            </w:r>
          </w:p>
        </w:tc>
        <w:tc>
          <w:tcPr/>
          <w:p>
            <w:pPr>
              <w:pStyle w:val="Compact"/>
              <w:jc w:val="right"/>
            </w:pPr>
            <w:r>
              <w:t xml:space="preserve">0.743</w:t>
            </w:r>
          </w:p>
        </w:tc>
        <w:tc>
          <w:tcPr/>
          <w:p>
            <w:pPr>
              <w:pStyle w:val="Compact"/>
              <w:jc w:val="right"/>
            </w:pPr>
            <w:r>
              <w:t xml:space="preserve">0.759</w:t>
            </w:r>
          </w:p>
        </w:tc>
        <w:tc>
          <w:tcPr/>
          <w:p>
            <w:pPr>
              <w:pStyle w:val="Compact"/>
              <w:jc w:val="right"/>
            </w:pPr>
            <w:r>
              <w:t xml:space="preserve">1.011</w:t>
            </w:r>
          </w:p>
        </w:tc>
        <w:tc>
          <w:tcPr/>
          <w:p>
            <w:pPr>
              <w:pStyle w:val="Compact"/>
              <w:jc w:val="right"/>
            </w:pPr>
            <w:r>
              <w:t xml:space="preserve">0.830</w:t>
            </w:r>
          </w:p>
        </w:tc>
      </w:tr>
    </w:tbl>
    <w:p/>
    <w:p>
      <w:pPr>
        <w:pStyle w:val="TableCaption"/>
      </w:pPr>
      <w:r>
        <w:rPr>
          <w:bCs/>
          <w:b/>
        </w:rPr>
        <w:t xml:space="preserve">Supplementary Table S3.</w:t>
      </w:r>
      <w:r>
        <w:t xml:space="preserve"> </w:t>
      </w:r>
      <w:r>
        <w:t xml:space="preserve">Age groups as constructed in the original analysis, reproduced with the 2018 projection.</w:t>
      </w:r>
      <w:r>
        <w:t xml:space="preserve"> </w:t>
      </w:r>
      <w:r>
        <w:rPr>
          <w:vertAlign w:val="superscript"/>
        </w:rPr>
        <w:t xml:space="preserve">a</w:t>
      </w:r>
      <w:r>
        <w:t xml:space="preserve">Labelled</w:t>
      </w:r>
      <w:r>
        <w:t xml:space="preserve"> </w:t>
      </w:r>
      <w:r>
        <w:t xml:space="preserve">“</w:t>
      </w:r>
      <w:r>
        <w:t xml:space="preserve">below 18</w:t>
      </w:r>
      <w:r>
        <w:t xml:space="preserve">”</w:t>
      </w:r>
      <w:r>
        <w:t xml:space="preserve"> </w:t>
      </w:r>
      <w:r>
        <w:t xml:space="preserve">in the original analysis; the numerator contains deaths at 7–17 years and the denominator the population aged 0–17.</w:t>
      </w:r>
      <w:r>
        <w:t xml:space="preserve"> </w:t>
      </w:r>
      <w:r>
        <w:rPr>
          <w:vertAlign w:val="superscript"/>
        </w:rPr>
        <w:t xml:space="preserve">b</w:t>
      </w:r>
      <w:r>
        <w:t xml:space="preserve">Mean over 2015–2021 of the relative difference from the 2014 rate, which is the quantity reported by the original analysis. Rates per 100,000 in the stated age group.</w:t>
      </w:r>
    </w:p>
    <w:tbl>
      <w:tblPr>
        <w:tblStyle w:val="Table"/>
        <w:tblW w:type="pct" w:w="5000"/>
        <w:tblLook w:firstRow="1" w:lastRow="0" w:firstColumn="0" w:lastColumn="0" w:noHBand="0" w:noVBand="0" w:val="0020"/>
        <w:jc w:val="start"/>
        <w:tblCaption w:val="Supplementary Table S3. Age groups as constructed in the original analysis, reproduced with the 2018 projection. aLabelled “below 18” in the original analysis; the numerator contains deaths at 7–17 years and the denominator the population aged 0–17. bMean over 2015–2021 of the relative difference from the 2014 rate, which is the quantity reported by the original analysis. Rates per 100,000 in the stated age group."/>
      </w:tblPr>
      <w:tblGrid>
        <w:gridCol w:w="950"/>
        <w:gridCol w:w="1056"/>
        <w:gridCol w:w="1056"/>
        <w:gridCol w:w="1372"/>
        <w:gridCol w:w="1478"/>
        <w:gridCol w:w="1056"/>
        <w:gridCol w:w="950"/>
      </w:tblGrid>
      <w:tr>
        <w:trPr>
          <w:tblHeader w:val="true"/>
        </w:trPr>
        <w:tc>
          <w:tcPr/>
          <w:p>
            <w:pPr>
              <w:pStyle w:val="Compact"/>
              <w:jc w:val="left"/>
            </w:pPr>
            <w:r>
              <w:t xml:space="preserve">Group</w:t>
            </w:r>
          </w:p>
        </w:tc>
        <w:tc>
          <w:tcPr/>
          <w:p>
            <w:pPr>
              <w:pStyle w:val="Compact"/>
              <w:jc w:val="right"/>
            </w:pPr>
            <w:r>
              <w:t xml:space="preserve">Deaths 2014 / 2021</w:t>
            </w:r>
          </w:p>
        </w:tc>
        <w:tc>
          <w:tcPr/>
          <w:p>
            <w:pPr>
              <w:pStyle w:val="Compact"/>
              <w:jc w:val="right"/>
            </w:pPr>
            <w:r>
              <w:t xml:space="preserve">Rate 2014 / 2021</w:t>
            </w:r>
          </w:p>
        </w:tc>
        <w:tc>
          <w:tcPr/>
          <w:p>
            <w:pPr>
              <w:pStyle w:val="Compact"/>
              <w:jc w:val="right"/>
            </w:pPr>
            <w:r>
              <w:t xml:space="preserve">Change 2014–2021 (%)</w:t>
            </w:r>
          </w:p>
        </w:tc>
        <w:tc>
          <w:tcPr/>
          <w:p>
            <w:pPr>
              <w:pStyle w:val="Compact"/>
              <w:jc w:val="right"/>
            </w:pPr>
            <w:r>
              <w:t xml:space="preserve">Mean relative variation</w:t>
            </w:r>
            <w:r>
              <w:rPr>
                <w:vertAlign w:val="superscript"/>
              </w:rPr>
              <w:t xml:space="preserve">b</w:t>
            </w:r>
            <w:r>
              <w:t xml:space="preserve"> </w:t>
            </w:r>
            <w:r>
              <w:t xml:space="preserve">(%)</w:t>
            </w:r>
          </w:p>
        </w:tc>
        <w:tc>
          <w:tcPr/>
          <w:p>
            <w:pPr>
              <w:pStyle w:val="Compact"/>
              <w:jc w:val="right"/>
            </w:pPr>
            <w:r>
              <w:t xml:space="preserve">Slope</w:t>
            </w:r>
          </w:p>
        </w:tc>
        <w:tc>
          <w:tcPr/>
          <w:p>
            <w:pPr>
              <w:pStyle w:val="Compact"/>
              <w:jc w:val="right"/>
            </w:pPr>
            <w:r>
              <w:rPr>
                <w:iCs/>
                <w:i/>
              </w:rPr>
              <w:t xml:space="preserve">p</w:t>
            </w:r>
          </w:p>
        </w:tc>
      </w:tr>
      <w:tr>
        <w:tc>
          <w:tcPr/>
          <w:p>
            <w:pPr>
              <w:pStyle w:val="Compact"/>
              <w:jc w:val="left"/>
            </w:pPr>
            <w:r>
              <w:t xml:space="preserve">Ages 7–17</w:t>
            </w:r>
            <w:r>
              <w:rPr>
                <w:vertAlign w:val="superscript"/>
              </w:rPr>
              <w:t xml:space="preserve">a</w:t>
            </w:r>
          </w:p>
        </w:tc>
        <w:tc>
          <w:tcPr/>
          <w:p>
            <w:pPr>
              <w:pStyle w:val="Compact"/>
              <w:jc w:val="right"/>
            </w:pPr>
            <w:r>
              <w:t xml:space="preserve">43 / 37</w:t>
            </w:r>
          </w:p>
        </w:tc>
        <w:tc>
          <w:tcPr/>
          <w:p>
            <w:pPr>
              <w:pStyle w:val="Compact"/>
              <w:jc w:val="right"/>
            </w:pPr>
            <w:r>
              <w:t xml:space="preserve">0.076 / 0.069</w:t>
            </w:r>
          </w:p>
        </w:tc>
        <w:tc>
          <w:tcPr/>
          <w:p>
            <w:pPr>
              <w:pStyle w:val="Compact"/>
              <w:jc w:val="right"/>
            </w:pPr>
            <w:r>
              <w:t xml:space="preserve">−9.2</w:t>
            </w:r>
          </w:p>
        </w:tc>
        <w:tc>
          <w:tcPr/>
          <w:p>
            <w:pPr>
              <w:pStyle w:val="Compact"/>
              <w:jc w:val="right"/>
            </w:pPr>
            <w:r>
              <w:t xml:space="preserve">+12.1</w:t>
            </w:r>
          </w:p>
        </w:tc>
        <w:tc>
          <w:tcPr/>
          <w:p>
            <w:pPr>
              <w:pStyle w:val="Compact"/>
              <w:jc w:val="right"/>
            </w:pPr>
            <w:r>
              <w:t xml:space="preserve">−0.0005</w:t>
            </w:r>
          </w:p>
        </w:tc>
        <w:tc>
          <w:tcPr/>
          <w:p>
            <w:pPr>
              <w:pStyle w:val="Compact"/>
              <w:jc w:val="right"/>
            </w:pPr>
            <w:r>
              <w:t xml:space="preserve">0.852</w:t>
            </w:r>
          </w:p>
        </w:tc>
      </w:tr>
      <w:tr>
        <w:tc>
          <w:tcPr/>
          <w:p>
            <w:pPr>
              <w:pStyle w:val="Compact"/>
              <w:jc w:val="left"/>
            </w:pPr>
            <w:r>
              <w:t xml:space="preserve">Ages 18–59</w:t>
            </w:r>
          </w:p>
        </w:tc>
        <w:tc>
          <w:tcPr/>
          <w:p>
            <w:pPr>
              <w:pStyle w:val="Compact"/>
              <w:jc w:val="right"/>
            </w:pPr>
            <w:r>
              <w:t xml:space="preserve">580 / 756</w:t>
            </w:r>
          </w:p>
        </w:tc>
        <w:tc>
          <w:tcPr/>
          <w:p>
            <w:pPr>
              <w:pStyle w:val="Compact"/>
              <w:jc w:val="right"/>
            </w:pPr>
            <w:r>
              <w:t xml:space="preserve">0.478 / 0.587</w:t>
            </w:r>
          </w:p>
        </w:tc>
        <w:tc>
          <w:tcPr/>
          <w:p>
            <w:pPr>
              <w:pStyle w:val="Compact"/>
              <w:jc w:val="right"/>
            </w:pPr>
            <w:r>
              <w:t xml:space="preserve">+22.9</w:t>
            </w:r>
          </w:p>
        </w:tc>
        <w:tc>
          <w:tcPr/>
          <w:p>
            <w:pPr>
              <w:pStyle w:val="Compact"/>
              <w:jc w:val="right"/>
            </w:pPr>
            <w:r>
              <w:t xml:space="preserve">+16.5</w:t>
            </w:r>
          </w:p>
        </w:tc>
        <w:tc>
          <w:tcPr/>
          <w:p>
            <w:pPr>
              <w:pStyle w:val="Compact"/>
              <w:jc w:val="right"/>
            </w:pPr>
            <w:r>
              <w:t xml:space="preserve">0.0212</w:t>
            </w:r>
          </w:p>
        </w:tc>
        <w:tc>
          <w:tcPr/>
          <w:p>
            <w:pPr>
              <w:pStyle w:val="Compact"/>
              <w:jc w:val="right"/>
            </w:pPr>
            <w:r>
              <w:t xml:space="preserve">0.044</w:t>
            </w:r>
          </w:p>
        </w:tc>
      </w:tr>
      <w:tr>
        <w:tc>
          <w:tcPr/>
          <w:p>
            <w:pPr>
              <w:pStyle w:val="Compact"/>
              <w:jc w:val="left"/>
            </w:pPr>
            <w:r>
              <w:t xml:space="preserve">Ages ≥60</w:t>
            </w:r>
          </w:p>
        </w:tc>
        <w:tc>
          <w:tcPr/>
          <w:p>
            <w:pPr>
              <w:pStyle w:val="Compact"/>
              <w:jc w:val="right"/>
            </w:pPr>
            <w:r>
              <w:t xml:space="preserve">1,412 / 1,630</w:t>
            </w:r>
          </w:p>
        </w:tc>
        <w:tc>
          <w:tcPr/>
          <w:p>
            <w:pPr>
              <w:pStyle w:val="Compact"/>
              <w:jc w:val="right"/>
            </w:pPr>
            <w:r>
              <w:t xml:space="preserve">5.853 / 5.203</w:t>
            </w:r>
          </w:p>
        </w:tc>
        <w:tc>
          <w:tcPr/>
          <w:p>
            <w:pPr>
              <w:pStyle w:val="Compact"/>
              <w:jc w:val="right"/>
            </w:pPr>
            <w:r>
              <w:t xml:space="preserve">−11.1</w:t>
            </w:r>
          </w:p>
        </w:tc>
        <w:tc>
          <w:tcPr/>
          <w:p>
            <w:pPr>
              <w:pStyle w:val="Compact"/>
              <w:jc w:val="right"/>
            </w:pPr>
            <w:r>
              <w:t xml:space="preserve">−1.9</w:t>
            </w:r>
          </w:p>
        </w:tc>
        <w:tc>
          <w:tcPr/>
          <w:p>
            <w:pPr>
              <w:pStyle w:val="Compact"/>
              <w:jc w:val="right"/>
            </w:pPr>
            <w:r>
              <w:t xml:space="preserve">−0.0712</w:t>
            </w:r>
          </w:p>
        </w:tc>
        <w:tc>
          <w:tcPr/>
          <w:p>
            <w:pPr>
              <w:pStyle w:val="Compact"/>
              <w:jc w:val="right"/>
            </w:pPr>
            <w:r>
              <w:t xml:space="preserve">0.135</w:t>
            </w:r>
          </w:p>
        </w:tc>
      </w:tr>
    </w:tbl>
    <w:p/>
    <w:p>
      <w:pPr>
        <w:pStyle w:val="TableCaption"/>
      </w:pPr>
      <w:r>
        <w:rPr>
          <w:bCs/>
          <w:b/>
        </w:rPr>
        <w:t xml:space="preserve">Supplementary Table S4.</w:t>
      </w:r>
      <w:r>
        <w:t xml:space="preserve"> </w:t>
      </w:r>
      <w:r>
        <w:t xml:space="preserve">Count models with population offset (post hoc analysis), 2018 projection unless stated.</w:t>
      </w:r>
      <w:r>
        <w:t xml:space="preserve"> </w:t>
      </w:r>
      <w:r>
        <w:rPr>
          <w:vertAlign w:val="superscript"/>
        </w:rPr>
        <w:t xml:space="preserve">a</w:t>
      </w:r>
      <w:r>
        <w:t xml:space="preserve">Pearson chi-square divided by degrees of freedom in the Poisson model; values well above 1 indicate overdispersion. The age-adjusted model uses nine age bands as a factor. For ages 5–34 and 7–34 the negative binomial model is equivalent to the Poisson model.</w:t>
      </w:r>
      <w:r>
        <w:t xml:space="preserve"> </w:t>
      </w:r>
      <w:r>
        <w:rPr>
          <w:vertAlign w:val="superscript"/>
        </w:rPr>
        <w:t xml:space="preserve">b</w:t>
      </w:r>
      <w:r>
        <w:t xml:space="preserve">Annual change (%) from quasi-Poisson models with the 2024 projection, with the p value in parentheses.</w:t>
      </w:r>
    </w:p>
    <w:tbl>
      <w:tblPr>
        <w:tblStyle w:val="Table"/>
        <w:tblW w:type="pct" w:w="5000"/>
        <w:tblLook w:firstRow="1" w:lastRow="0" w:firstColumn="0" w:lastColumn="0" w:noHBand="0" w:noVBand="0" w:val="0020"/>
        <w:jc w:val="start"/>
        <w:tblCaption w:val="Supplementary Table S4. Count models with population offset (post hoc analysis), 2018 projection unless stated. aPearson chi-square divided by degrees of freedom in the Poisson model; values well above 1 indicate overdispersion. The age-adjusted model uses nine age bands as a factor. For ages 5–34 and 7–34 the negative binomial model is equivalent to the Poisson model. bAnnual change (%) from quasi-Poisson models with the 2024 projection, with the p value in parentheses."/>
      </w:tblPr>
      <w:tblGrid>
        <w:gridCol w:w="1155"/>
        <w:gridCol w:w="1237"/>
        <w:gridCol w:w="1980"/>
        <w:gridCol w:w="742"/>
        <w:gridCol w:w="1402"/>
        <w:gridCol w:w="1402"/>
      </w:tblGrid>
      <w:tr>
        <w:trPr>
          <w:tblHeader w:val="true"/>
        </w:trPr>
        <w:tc>
          <w:tcPr/>
          <w:p>
            <w:pPr>
              <w:pStyle w:val="Compact"/>
              <w:jc w:val="left"/>
            </w:pPr>
            <w:r>
              <w:t xml:space="preserve">Series</w:t>
            </w:r>
          </w:p>
        </w:tc>
        <w:tc>
          <w:tcPr/>
          <w:p>
            <w:pPr>
              <w:pStyle w:val="Compact"/>
              <w:jc w:val="right"/>
            </w:pPr>
            <w:r>
              <w:t xml:space="preserve">Dispersion</w:t>
            </w:r>
            <w:r>
              <w:rPr>
                <w:vertAlign w:val="superscript"/>
              </w:rPr>
              <w:t xml:space="preserve">a</w:t>
            </w:r>
          </w:p>
        </w:tc>
        <w:tc>
          <w:tcPr/>
          <w:p>
            <w:pPr>
              <w:pStyle w:val="Compact"/>
              <w:jc w:val="left"/>
            </w:pPr>
            <w:r>
              <w:t xml:space="preserve">Quasi-Poisson, annual change (%)</w:t>
            </w:r>
          </w:p>
        </w:tc>
        <w:tc>
          <w:tcPr/>
          <w:p>
            <w:pPr>
              <w:pStyle w:val="Compact"/>
              <w:jc w:val="left"/>
            </w:pPr>
            <w:r>
              <w:rPr>
                <w:iCs/>
                <w:i/>
              </w:rPr>
              <w:t xml:space="preserve">p</w:t>
            </w:r>
          </w:p>
        </w:tc>
        <w:tc>
          <w:tcPr/>
          <w:p>
            <w:pPr>
              <w:pStyle w:val="Compact"/>
              <w:jc w:val="right"/>
            </w:pPr>
            <w:r>
              <w:rPr>
                <w:iCs/>
                <w:i/>
              </w:rPr>
              <w:t xml:space="preserve">p</w:t>
            </w:r>
            <w:r>
              <w:t xml:space="preserve">, neg. binomial</w:t>
            </w:r>
          </w:p>
        </w:tc>
        <w:tc>
          <w:tcPr/>
          <w:p>
            <w:pPr>
              <w:pStyle w:val="Compact"/>
              <w:jc w:val="left"/>
            </w:pPr>
            <w:r>
              <w:t xml:space="preserve">2024 denominators</w:t>
            </w:r>
            <w:r>
              <w:rPr>
                <w:vertAlign w:val="superscript"/>
              </w:rPr>
              <w:t xml:space="preserve">b</w:t>
            </w:r>
          </w:p>
        </w:tc>
      </w:tr>
      <w:tr>
        <w:tc>
          <w:tcPr/>
          <w:p>
            <w:pPr>
              <w:pStyle w:val="Compact"/>
              <w:jc w:val="left"/>
            </w:pPr>
            <w:r>
              <w:t xml:space="preserve">Crude national rate</w:t>
            </w:r>
          </w:p>
        </w:tc>
        <w:tc>
          <w:tcPr/>
          <w:p>
            <w:pPr>
              <w:pStyle w:val="Compact"/>
              <w:jc w:val="right"/>
            </w:pPr>
            <w:r>
              <w:t xml:space="preserve">5.91</w:t>
            </w:r>
          </w:p>
        </w:tc>
        <w:tc>
          <w:tcPr/>
          <w:p>
            <w:pPr>
              <w:pStyle w:val="Compact"/>
              <w:jc w:val="left"/>
            </w:pPr>
            <w:r>
              <w:t xml:space="preserve">+2.25 (0.32 to 4.22)</w:t>
            </w:r>
          </w:p>
        </w:tc>
        <w:tc>
          <w:tcPr/>
          <w:p>
            <w:pPr>
              <w:pStyle w:val="Compact"/>
              <w:jc w:val="left"/>
            </w:pPr>
            <w:r>
              <w:t xml:space="preserve">0.029</w:t>
            </w:r>
          </w:p>
        </w:tc>
        <w:tc>
          <w:tcPr/>
          <w:p>
            <w:pPr>
              <w:pStyle w:val="Compact"/>
              <w:jc w:val="right"/>
            </w:pPr>
            <w:r>
              <w:t xml:space="preserve">&lt;0.001</w:t>
            </w:r>
          </w:p>
        </w:tc>
        <w:tc>
          <w:tcPr/>
          <w:p>
            <w:pPr>
              <w:pStyle w:val="Compact"/>
              <w:jc w:val="left"/>
            </w:pPr>
            <w:r>
              <w:t xml:space="preserve">+2.40 (0.022)</w:t>
            </w:r>
          </w:p>
        </w:tc>
      </w:tr>
      <w:tr>
        <w:tc>
          <w:tcPr/>
          <w:p>
            <w:pPr>
              <w:pStyle w:val="Compact"/>
              <w:jc w:val="left"/>
            </w:pPr>
            <w:r>
              <w:t xml:space="preserve">Age-adjusted, ages ≥7</w:t>
            </w:r>
          </w:p>
        </w:tc>
        <w:tc>
          <w:tcPr/>
          <w:p>
            <w:pPr>
              <w:pStyle w:val="Compact"/>
              <w:jc w:val="right"/>
            </w:pPr>
            <w:r>
              <w:t xml:space="preserve">3.11</w:t>
            </w:r>
          </w:p>
        </w:tc>
        <w:tc>
          <w:tcPr/>
          <w:p>
            <w:pPr>
              <w:pStyle w:val="Compact"/>
              <w:jc w:val="left"/>
            </w:pPr>
            <w:r>
              <w:t xml:space="preserve">+0.00 (−1.12 to 1.14)</w:t>
            </w:r>
          </w:p>
        </w:tc>
        <w:tc>
          <w:tcPr/>
          <w:p>
            <w:pPr>
              <w:pStyle w:val="Compact"/>
              <w:jc w:val="left"/>
            </w:pPr>
            <w:r>
              <w:t xml:space="preserve">0.994</w:t>
            </w:r>
          </w:p>
        </w:tc>
        <w:tc>
          <w:tcPr/>
          <w:p>
            <w:pPr>
              <w:pStyle w:val="Compact"/>
              <w:jc w:val="right"/>
            </w:pPr>
            <w:r>
              <w:t xml:space="preserve">0.104</w:t>
            </w:r>
          </w:p>
        </w:tc>
        <w:tc>
          <w:tcPr/>
          <w:p>
            <w:pPr>
              <w:pStyle w:val="Compact"/>
              <w:jc w:val="left"/>
            </w:pPr>
            <w:r>
              <w:t xml:space="preserve">+0.29 (0.602)</w:t>
            </w:r>
          </w:p>
        </w:tc>
      </w:tr>
      <w:tr>
        <w:tc>
          <w:tcPr/>
          <w:p>
            <w:pPr>
              <w:pStyle w:val="Compact"/>
              <w:jc w:val="left"/>
            </w:pPr>
            <w:r>
              <w:t xml:space="preserve">Ages 5–34</w:t>
            </w:r>
          </w:p>
        </w:tc>
        <w:tc>
          <w:tcPr/>
          <w:p>
            <w:pPr>
              <w:pStyle w:val="Compact"/>
              <w:jc w:val="right"/>
            </w:pPr>
            <w:r>
              <w:t xml:space="preserve">1.07</w:t>
            </w:r>
          </w:p>
        </w:tc>
        <w:tc>
          <w:tcPr/>
          <w:p>
            <w:pPr>
              <w:pStyle w:val="Compact"/>
              <w:jc w:val="left"/>
            </w:pPr>
            <w:r>
              <w:t xml:space="preserve">+4.04 (1.20 to 6.96)</w:t>
            </w:r>
          </w:p>
        </w:tc>
        <w:tc>
          <w:tcPr/>
          <w:p>
            <w:pPr>
              <w:pStyle w:val="Compact"/>
              <w:jc w:val="left"/>
            </w:pPr>
            <w:r>
              <w:t xml:space="preserve">0.013</w:t>
            </w:r>
          </w:p>
        </w:tc>
        <w:tc>
          <w:tcPr/>
          <w:p>
            <w:pPr>
              <w:pStyle w:val="Compact"/>
              <w:jc w:val="right"/>
            </w:pPr>
            <w:r>
              <w:t xml:space="preserve">&lt;0.001</w:t>
            </w:r>
          </w:p>
        </w:tc>
        <w:tc>
          <w:tcPr/>
          <w:p>
            <w:pPr>
              <w:pStyle w:val="Compact"/>
              <w:jc w:val="left"/>
            </w:pPr>
            <w:r>
              <w:t xml:space="preserve">+4.22 (0.011)</w:t>
            </w:r>
          </w:p>
        </w:tc>
      </w:tr>
      <w:tr>
        <w:tc>
          <w:tcPr/>
          <w:p>
            <w:pPr>
              <w:pStyle w:val="Compact"/>
              <w:jc w:val="left"/>
            </w:pPr>
            <w:r>
              <w:t xml:space="preserve">Ages 7–34</w:t>
            </w:r>
          </w:p>
        </w:tc>
        <w:tc>
          <w:tcPr/>
          <w:p>
            <w:pPr>
              <w:pStyle w:val="Compact"/>
              <w:jc w:val="right"/>
            </w:pPr>
            <w:r>
              <w:t xml:space="preserve">1.13</w:t>
            </w:r>
          </w:p>
        </w:tc>
        <w:tc>
          <w:tcPr/>
          <w:p>
            <w:pPr>
              <w:pStyle w:val="Compact"/>
              <w:jc w:val="left"/>
            </w:pPr>
            <w:r>
              <w:t xml:space="preserve">+4.65 (1.64 to 7.75)</w:t>
            </w:r>
          </w:p>
        </w:tc>
        <w:tc>
          <w:tcPr/>
          <w:p>
            <w:pPr>
              <w:pStyle w:val="Compact"/>
              <w:jc w:val="left"/>
            </w:pPr>
            <w:r>
              <w:t xml:space="preserve">0.009</w:t>
            </w:r>
          </w:p>
        </w:tc>
        <w:tc>
          <w:tcPr/>
          <w:p>
            <w:pPr>
              <w:pStyle w:val="Compact"/>
              <w:jc w:val="right"/>
            </w:pPr>
            <w:r>
              <w:t xml:space="preserve">&lt;0.001</w:t>
            </w:r>
          </w:p>
        </w:tc>
        <w:tc>
          <w:tcPr/>
          <w:p>
            <w:pPr>
              <w:pStyle w:val="Compact"/>
              <w:jc w:val="left"/>
            </w:pPr>
            <w:r>
              <w:t xml:space="preserve">+4.83 (0.007)</w:t>
            </w:r>
          </w:p>
        </w:tc>
      </w:tr>
      <w:tr>
        <w:tc>
          <w:tcPr/>
          <w:p>
            <w:pPr>
              <w:pStyle w:val="Compact"/>
              <w:jc w:val="left"/>
            </w:pPr>
            <w:r>
              <w:t xml:space="preserve">Ages 35–59</w:t>
            </w:r>
          </w:p>
        </w:tc>
        <w:tc>
          <w:tcPr/>
          <w:p>
            <w:pPr>
              <w:pStyle w:val="Compact"/>
              <w:jc w:val="right"/>
            </w:pPr>
            <w:r>
              <w:t xml:space="preserve">5.54</w:t>
            </w:r>
          </w:p>
        </w:tc>
        <w:tc>
          <w:tcPr/>
          <w:p>
            <w:pPr>
              <w:pStyle w:val="Compact"/>
              <w:jc w:val="left"/>
            </w:pPr>
            <w:r>
              <w:t xml:space="preserve">+2.78 (−1.08 to 6.79)</w:t>
            </w:r>
          </w:p>
        </w:tc>
        <w:tc>
          <w:tcPr/>
          <w:p>
            <w:pPr>
              <w:pStyle w:val="Compact"/>
              <w:jc w:val="left"/>
            </w:pPr>
            <w:r>
              <w:t xml:space="preserve">0.130</w:t>
            </w:r>
          </w:p>
        </w:tc>
        <w:tc>
          <w:tcPr/>
          <w:p>
            <w:pPr>
              <w:pStyle w:val="Compact"/>
              <w:jc w:val="right"/>
            </w:pPr>
            <w:r>
              <w:t xml:space="preserve">0.036</w:t>
            </w:r>
          </w:p>
        </w:tc>
        <w:tc>
          <w:tcPr/>
          <w:p>
            <w:pPr>
              <w:pStyle w:val="Compact"/>
              <w:jc w:val="left"/>
            </w:pPr>
            <w:r>
              <w:t xml:space="preserve">+2.84 (0.123)</w:t>
            </w:r>
          </w:p>
        </w:tc>
      </w:tr>
    </w:tbl>
    <w:p/>
    <w:p>
      <w:pPr>
        <w:pStyle w:val="TableCaption"/>
      </w:pPr>
      <w:r>
        <w:rPr>
          <w:bCs/>
          <w:b/>
        </w:rPr>
        <w:t xml:space="preserve">Supplementary Table S5.</w:t>
      </w:r>
      <w:r>
        <w:t xml:space="preserve"> </w:t>
      </w:r>
      <w:r>
        <w:t xml:space="preserve">Sensitivity to the standard population and to the population projection (post hoc analysis). For each row the slope is in rate units per year, from ordinary least squares on eight annual values. The WHO standard population is applied in five-year bands, and the age-standardised rows for ages 7 or more use the 5–9 band at three fifths of its weight.</w:t>
      </w:r>
    </w:p>
    <w:tbl>
      <w:tblPr>
        <w:tblStyle w:val="Table"/>
        <w:tblW w:type="pct" w:w="5000"/>
        <w:tblLook w:firstRow="1" w:lastRow="0" w:firstColumn="0" w:lastColumn="0" w:noHBand="0" w:noVBand="0" w:val="0020"/>
        <w:jc w:val="start"/>
        <w:tblCaption w:val="Supplementary Table S5. Sensitivity to the standard population and to the population projection (post hoc analysis). For each row the slope is in rate units per year, from ordinary least squares on eight annual values. The WHO standard population is applied in five-year bands, and the age-standardised rows for ages 7 or more use the 5–9 band at three fifths of its weight."/>
      </w:tblPr>
      <w:tblGrid>
        <w:gridCol w:w="2227"/>
        <w:gridCol w:w="742"/>
        <w:gridCol w:w="742"/>
        <w:gridCol w:w="825"/>
        <w:gridCol w:w="825"/>
        <w:gridCol w:w="1815"/>
        <w:gridCol w:w="742"/>
      </w:tblGrid>
      <w:tr>
        <w:trPr>
          <w:tblHeader w:val="true"/>
        </w:trPr>
        <w:tc>
          <w:tcPr/>
          <w:p>
            <w:pPr>
              <w:pStyle w:val="Compact"/>
              <w:jc w:val="left"/>
            </w:pPr>
            <w:r>
              <w:t xml:space="preserve">Specification</w:t>
            </w:r>
          </w:p>
        </w:tc>
        <w:tc>
          <w:tcPr/>
          <w:p>
            <w:pPr>
              <w:pStyle w:val="Compact"/>
              <w:jc w:val="right"/>
            </w:pPr>
            <w:r>
              <w:t xml:space="preserve">Rate 2014</w:t>
            </w:r>
          </w:p>
        </w:tc>
        <w:tc>
          <w:tcPr/>
          <w:p>
            <w:pPr>
              <w:pStyle w:val="Compact"/>
              <w:jc w:val="right"/>
            </w:pPr>
            <w:r>
              <w:t xml:space="preserve">Rate 2021</w:t>
            </w:r>
          </w:p>
        </w:tc>
        <w:tc>
          <w:tcPr/>
          <w:p>
            <w:pPr>
              <w:pStyle w:val="Compact"/>
              <w:jc w:val="right"/>
            </w:pPr>
            <w:r>
              <w:t xml:space="preserve">Change (%)</w:t>
            </w:r>
          </w:p>
        </w:tc>
        <w:tc>
          <w:tcPr/>
          <w:p>
            <w:pPr>
              <w:pStyle w:val="Compact"/>
              <w:jc w:val="right"/>
            </w:pPr>
            <w:r>
              <w:t xml:space="preserve">Slope</w:t>
            </w:r>
          </w:p>
        </w:tc>
        <w:tc>
          <w:tcPr/>
          <w:p>
            <w:pPr>
              <w:pStyle w:val="Compact"/>
              <w:jc w:val="left"/>
            </w:pPr>
            <w:r>
              <w:t xml:space="preserve">95% CI</w:t>
            </w:r>
          </w:p>
        </w:tc>
        <w:tc>
          <w:tcPr/>
          <w:p>
            <w:pPr>
              <w:pStyle w:val="Compact"/>
              <w:jc w:val="right"/>
            </w:pPr>
            <w:r>
              <w:rPr>
                <w:iCs/>
                <w:i/>
              </w:rPr>
              <w:t xml:space="preserve">p</w:t>
            </w:r>
          </w:p>
        </w:tc>
      </w:tr>
      <w:tr>
        <w:tc>
          <w:tcPr/>
          <w:p>
            <w:pPr>
              <w:pStyle w:val="Compact"/>
              <w:jc w:val="left"/>
            </w:pPr>
            <w:r>
              <w:rPr>
                <w:iCs/>
                <w:i/>
              </w:rPr>
              <w:t xml:space="preserve">Ages ≥7, age-standardised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Brazil 2014 standard, 2018 projection (primary)</w:t>
            </w:r>
          </w:p>
        </w:tc>
        <w:tc>
          <w:tcPr/>
          <w:p>
            <w:pPr>
              <w:pStyle w:val="Compact"/>
              <w:jc w:val="right"/>
            </w:pPr>
            <w:r>
              <w:t xml:space="preserve">1.123</w:t>
            </w:r>
          </w:p>
        </w:tc>
        <w:tc>
          <w:tcPr/>
          <w:p>
            <w:pPr>
              <w:pStyle w:val="Compact"/>
              <w:jc w:val="right"/>
            </w:pPr>
            <w:r>
              <w:t xml:space="preserve">1.078</w:t>
            </w:r>
          </w:p>
        </w:tc>
        <w:tc>
          <w:tcPr/>
          <w:p>
            <w:pPr>
              <w:pStyle w:val="Compact"/>
              <w:jc w:val="right"/>
            </w:pPr>
            <w:r>
              <w:t xml:space="preserve">−4.0</w:t>
            </w:r>
          </w:p>
        </w:tc>
        <w:tc>
          <w:tcPr/>
          <w:p>
            <w:pPr>
              <w:pStyle w:val="Compact"/>
              <w:jc w:val="right"/>
            </w:pPr>
            <w:r>
              <w:t xml:space="preserve">0.0002</w:t>
            </w:r>
          </w:p>
        </w:tc>
        <w:tc>
          <w:tcPr/>
          <w:p>
            <w:pPr>
              <w:pStyle w:val="Compact"/>
              <w:jc w:val="left"/>
            </w:pPr>
            <w:r>
              <w:t xml:space="preserve">(−0.0213 to 0.0217)</w:t>
            </w:r>
          </w:p>
        </w:tc>
        <w:tc>
          <w:tcPr/>
          <w:p>
            <w:pPr>
              <w:pStyle w:val="Compact"/>
              <w:jc w:val="right"/>
            </w:pPr>
            <w:r>
              <w:t xml:space="preserve">0.983</w:t>
            </w:r>
          </w:p>
        </w:tc>
      </w:tr>
      <w:tr>
        <w:tc>
          <w:tcPr/>
          <w:p>
            <w:pPr>
              <w:pStyle w:val="Compact"/>
              <w:jc w:val="left"/>
            </w:pPr>
            <w:r>
              <w:t xml:space="preserve">Brazil 2014 standard, 2024 projection</w:t>
            </w:r>
          </w:p>
        </w:tc>
        <w:tc>
          <w:tcPr/>
          <w:p>
            <w:pPr>
              <w:pStyle w:val="Compact"/>
              <w:jc w:val="right"/>
            </w:pPr>
            <w:r>
              <w:t xml:space="preserve">1.128</w:t>
            </w:r>
          </w:p>
        </w:tc>
        <w:tc>
          <w:tcPr/>
          <w:p>
            <w:pPr>
              <w:pStyle w:val="Compact"/>
              <w:jc w:val="right"/>
            </w:pPr>
            <w:r>
              <w:t xml:space="preserve">1.112</w:t>
            </w:r>
          </w:p>
        </w:tc>
        <w:tc>
          <w:tcPr/>
          <w:p>
            <w:pPr>
              <w:pStyle w:val="Compact"/>
              <w:jc w:val="right"/>
            </w:pPr>
            <w:r>
              <w:t xml:space="preserve">−1.5</w:t>
            </w:r>
          </w:p>
        </w:tc>
        <w:tc>
          <w:tcPr/>
          <w:p>
            <w:pPr>
              <w:pStyle w:val="Compact"/>
              <w:jc w:val="right"/>
            </w:pPr>
            <w:r>
              <w:t xml:space="preserve">0.0040</w:t>
            </w:r>
          </w:p>
        </w:tc>
        <w:tc>
          <w:tcPr/>
          <w:p>
            <w:pPr>
              <w:pStyle w:val="Compact"/>
              <w:jc w:val="left"/>
            </w:pPr>
            <w:r>
              <w:t xml:space="preserve">(−0.0176 to 0.0255)</w:t>
            </w:r>
          </w:p>
        </w:tc>
        <w:tc>
          <w:tcPr/>
          <w:p>
            <w:pPr>
              <w:pStyle w:val="Compact"/>
              <w:jc w:val="right"/>
            </w:pPr>
            <w:r>
              <w:t xml:space="preserve">0.668</w:t>
            </w:r>
          </w:p>
        </w:tc>
      </w:tr>
      <w:tr>
        <w:tc>
          <w:tcPr/>
          <w:p>
            <w:pPr>
              <w:pStyle w:val="Compact"/>
              <w:jc w:val="left"/>
            </w:pPr>
            <w:r>
              <w:t xml:space="preserve">WHO standard, 2018 projection</w:t>
            </w:r>
          </w:p>
        </w:tc>
        <w:tc>
          <w:tcPr/>
          <w:p>
            <w:pPr>
              <w:pStyle w:val="Compact"/>
              <w:jc w:val="right"/>
            </w:pPr>
            <w:r>
              <w:t xml:space="preserve">1.095</w:t>
            </w:r>
          </w:p>
        </w:tc>
        <w:tc>
          <w:tcPr/>
          <w:p>
            <w:pPr>
              <w:pStyle w:val="Compact"/>
              <w:jc w:val="right"/>
            </w:pPr>
            <w:r>
              <w:t xml:space="preserve">1.049</w:t>
            </w:r>
          </w:p>
        </w:tc>
        <w:tc>
          <w:tcPr/>
          <w:p>
            <w:pPr>
              <w:pStyle w:val="Compact"/>
              <w:jc w:val="right"/>
            </w:pPr>
            <w:r>
              <w:t xml:space="preserve">−4.2</w:t>
            </w:r>
          </w:p>
        </w:tc>
        <w:tc>
          <w:tcPr/>
          <w:p>
            <w:pPr>
              <w:pStyle w:val="Compact"/>
              <w:jc w:val="right"/>
            </w:pPr>
            <w:r>
              <w:t xml:space="preserve">−0.0001</w:t>
            </w:r>
          </w:p>
        </w:tc>
        <w:tc>
          <w:tcPr/>
          <w:p>
            <w:pPr>
              <w:pStyle w:val="Compact"/>
              <w:jc w:val="left"/>
            </w:pPr>
            <w:r>
              <w:t xml:space="preserve">(−0.0207 to 0.0205)</w:t>
            </w:r>
          </w:p>
        </w:tc>
        <w:tc>
          <w:tcPr/>
          <w:p>
            <w:pPr>
              <w:pStyle w:val="Compact"/>
              <w:jc w:val="right"/>
            </w:pPr>
            <w:r>
              <w:t xml:space="preserve">0.990</w:t>
            </w:r>
          </w:p>
        </w:tc>
      </w:tr>
      <w:tr>
        <w:tc>
          <w:tcPr/>
          <w:p>
            <w:pPr>
              <w:pStyle w:val="Compact"/>
              <w:jc w:val="left"/>
            </w:pPr>
            <w:r>
              <w:t xml:space="preserve">WHO standard, 2024 projection</w:t>
            </w:r>
          </w:p>
        </w:tc>
        <w:tc>
          <w:tcPr/>
          <w:p>
            <w:pPr>
              <w:pStyle w:val="Compact"/>
              <w:jc w:val="right"/>
            </w:pPr>
            <w:r>
              <w:t xml:space="preserve">1.102</w:t>
            </w:r>
          </w:p>
        </w:tc>
        <w:tc>
          <w:tcPr/>
          <w:p>
            <w:pPr>
              <w:pStyle w:val="Compact"/>
              <w:jc w:val="right"/>
            </w:pPr>
            <w:r>
              <w:t xml:space="preserve">1.080</w:t>
            </w:r>
          </w:p>
        </w:tc>
        <w:tc>
          <w:tcPr/>
          <w:p>
            <w:pPr>
              <w:pStyle w:val="Compact"/>
              <w:jc w:val="right"/>
            </w:pPr>
            <w:r>
              <w:t xml:space="preserve">−2.0</w:t>
            </w:r>
          </w:p>
        </w:tc>
        <w:tc>
          <w:tcPr/>
          <w:p>
            <w:pPr>
              <w:pStyle w:val="Compact"/>
              <w:jc w:val="right"/>
            </w:pPr>
            <w:r>
              <w:t xml:space="preserve">0.0031</w:t>
            </w:r>
          </w:p>
        </w:tc>
        <w:tc>
          <w:tcPr/>
          <w:p>
            <w:pPr>
              <w:pStyle w:val="Compact"/>
              <w:jc w:val="left"/>
            </w:pPr>
            <w:r>
              <w:t xml:space="preserve">(−0.0176 to 0.0237)</w:t>
            </w:r>
          </w:p>
        </w:tc>
        <w:tc>
          <w:tcPr/>
          <w:p>
            <w:pPr>
              <w:pStyle w:val="Compact"/>
              <w:jc w:val="right"/>
            </w:pPr>
            <w:r>
              <w:t xml:space="preserve">0.727</w:t>
            </w:r>
          </w:p>
        </w:tc>
      </w:tr>
      <w:tr>
        <w:tc>
          <w:tcPr/>
          <w:p>
            <w:pPr>
              <w:pStyle w:val="Compact"/>
              <w:jc w:val="left"/>
            </w:pPr>
            <w:r>
              <w:rPr>
                <w:iCs/>
                <w:i/>
              </w:rPr>
              <w:t xml:space="preserve">Ages 5–34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Crude group rate, 2018 projection (primary)</w:t>
            </w:r>
          </w:p>
        </w:tc>
        <w:tc>
          <w:tcPr/>
          <w:p>
            <w:pPr>
              <w:pStyle w:val="Compact"/>
              <w:jc w:val="right"/>
            </w:pPr>
            <w:r>
              <w:t xml:space="preserve">0.182</w:t>
            </w:r>
          </w:p>
        </w:tc>
        <w:tc>
          <w:tcPr/>
          <w:p>
            <w:pPr>
              <w:pStyle w:val="Compact"/>
              <w:jc w:val="right"/>
            </w:pPr>
            <w:r>
              <w:t xml:space="preserve">0.219</w:t>
            </w:r>
          </w:p>
        </w:tc>
        <w:tc>
          <w:tcPr/>
          <w:p>
            <w:pPr>
              <w:pStyle w:val="Compact"/>
              <w:jc w:val="right"/>
            </w:pPr>
            <w:r>
              <w:t xml:space="preserve">+20.3</w:t>
            </w:r>
          </w:p>
        </w:tc>
        <w:tc>
          <w:tcPr/>
          <w:p>
            <w:pPr>
              <w:pStyle w:val="Compact"/>
              <w:jc w:val="right"/>
            </w:pPr>
            <w:r>
              <w:t xml:space="preserve">0.0080</w:t>
            </w:r>
          </w:p>
        </w:tc>
        <w:tc>
          <w:tcPr/>
          <w:p>
            <w:pPr>
              <w:pStyle w:val="Compact"/>
              <w:jc w:val="left"/>
            </w:pPr>
            <w:r>
              <w:t xml:space="preserve">(0.0023 to 0.0138)</w:t>
            </w:r>
          </w:p>
        </w:tc>
        <w:tc>
          <w:tcPr/>
          <w:p>
            <w:pPr>
              <w:pStyle w:val="Compact"/>
              <w:jc w:val="right"/>
            </w:pPr>
            <w:r>
              <w:t xml:space="preserve">0.014</w:t>
            </w:r>
          </w:p>
        </w:tc>
      </w:tr>
      <w:tr>
        <w:tc>
          <w:tcPr/>
          <w:p>
            <w:pPr>
              <w:pStyle w:val="Compact"/>
              <w:jc w:val="left"/>
            </w:pPr>
            <w:r>
              <w:t xml:space="preserve">Crude group rate, 2024 projection</w:t>
            </w:r>
          </w:p>
        </w:tc>
        <w:tc>
          <w:tcPr/>
          <w:p>
            <w:pPr>
              <w:pStyle w:val="Compact"/>
              <w:jc w:val="right"/>
            </w:pPr>
            <w:r>
              <w:t xml:space="preserve">0.183</w:t>
            </w:r>
          </w:p>
        </w:tc>
        <w:tc>
          <w:tcPr/>
          <w:p>
            <w:pPr>
              <w:pStyle w:val="Compact"/>
              <w:jc w:val="right"/>
            </w:pPr>
            <w:r>
              <w:t xml:space="preserve">0.222</w:t>
            </w:r>
          </w:p>
        </w:tc>
        <w:tc>
          <w:tcPr/>
          <w:p>
            <w:pPr>
              <w:pStyle w:val="Compact"/>
              <w:jc w:val="right"/>
            </w:pPr>
            <w:r>
              <w:t xml:space="preserve">+21.7</w:t>
            </w:r>
          </w:p>
        </w:tc>
        <w:tc>
          <w:tcPr/>
          <w:p>
            <w:pPr>
              <w:pStyle w:val="Compact"/>
              <w:jc w:val="right"/>
            </w:pPr>
            <w:r>
              <w:t xml:space="preserve">0.0085</w:t>
            </w:r>
          </w:p>
        </w:tc>
        <w:tc>
          <w:tcPr/>
          <w:p>
            <w:pPr>
              <w:pStyle w:val="Compact"/>
              <w:jc w:val="left"/>
            </w:pPr>
            <w:r>
              <w:t xml:space="preserve">(0.0026 to 0.0144)</w:t>
            </w:r>
          </w:p>
        </w:tc>
        <w:tc>
          <w:tcPr/>
          <w:p>
            <w:pPr>
              <w:pStyle w:val="Compact"/>
              <w:jc w:val="right"/>
            </w:pPr>
            <w:r>
              <w:t xml:space="preserve">0.012</w:t>
            </w:r>
          </w:p>
        </w:tc>
      </w:tr>
      <w:tr>
        <w:tc>
          <w:tcPr/>
          <w:p>
            <w:pPr>
              <w:pStyle w:val="Compact"/>
              <w:jc w:val="left"/>
            </w:pPr>
            <w:r>
              <w:t xml:space="preserve">WHO standard, 2018 projection</w:t>
            </w:r>
          </w:p>
        </w:tc>
        <w:tc>
          <w:tcPr/>
          <w:p>
            <w:pPr>
              <w:pStyle w:val="Compact"/>
              <w:jc w:val="right"/>
            </w:pPr>
            <w:r>
              <w:t xml:space="preserve">0.178</w:t>
            </w:r>
          </w:p>
        </w:tc>
        <w:tc>
          <w:tcPr/>
          <w:p>
            <w:pPr>
              <w:pStyle w:val="Compact"/>
              <w:jc w:val="right"/>
            </w:pPr>
            <w:r>
              <w:t xml:space="preserve">0.208</w:t>
            </w:r>
          </w:p>
        </w:tc>
        <w:tc>
          <w:tcPr/>
          <w:p>
            <w:pPr>
              <w:pStyle w:val="Compact"/>
              <w:jc w:val="right"/>
            </w:pPr>
            <w:r>
              <w:t xml:space="preserve">+16.9</w:t>
            </w:r>
          </w:p>
        </w:tc>
        <w:tc>
          <w:tcPr/>
          <w:p>
            <w:pPr>
              <w:pStyle w:val="Compact"/>
              <w:jc w:val="right"/>
            </w:pPr>
            <w:r>
              <w:t xml:space="preserve">0.0069</w:t>
            </w:r>
          </w:p>
        </w:tc>
        <w:tc>
          <w:tcPr/>
          <w:p>
            <w:pPr>
              <w:pStyle w:val="Compact"/>
              <w:jc w:val="left"/>
            </w:pPr>
            <w:r>
              <w:t xml:space="preserve">(0.0015 to 0.0122)</w:t>
            </w:r>
          </w:p>
        </w:tc>
        <w:tc>
          <w:tcPr/>
          <w:p>
            <w:pPr>
              <w:pStyle w:val="Compact"/>
              <w:jc w:val="right"/>
            </w:pPr>
            <w:r>
              <w:t xml:space="preserve">0.020</w:t>
            </w:r>
          </w:p>
        </w:tc>
      </w:tr>
      <w:tr>
        <w:tc>
          <w:tcPr/>
          <w:p>
            <w:pPr>
              <w:pStyle w:val="Compact"/>
              <w:jc w:val="left"/>
            </w:pPr>
            <w:r>
              <w:t xml:space="preserve">WHO standard, 2024 projection</w:t>
            </w:r>
          </w:p>
        </w:tc>
        <w:tc>
          <w:tcPr/>
          <w:p>
            <w:pPr>
              <w:pStyle w:val="Compact"/>
              <w:jc w:val="right"/>
            </w:pPr>
            <w:r>
              <w:t xml:space="preserve">0.179</w:t>
            </w:r>
          </w:p>
        </w:tc>
        <w:tc>
          <w:tcPr/>
          <w:p>
            <w:pPr>
              <w:pStyle w:val="Compact"/>
              <w:jc w:val="right"/>
            </w:pPr>
            <w:r>
              <w:t xml:space="preserve">0.213</w:t>
            </w:r>
          </w:p>
        </w:tc>
        <w:tc>
          <w:tcPr/>
          <w:p>
            <w:pPr>
              <w:pStyle w:val="Compact"/>
              <w:jc w:val="right"/>
            </w:pPr>
            <w:r>
              <w:t xml:space="preserve">+19.1</w:t>
            </w:r>
          </w:p>
        </w:tc>
        <w:tc>
          <w:tcPr/>
          <w:p>
            <w:pPr>
              <w:pStyle w:val="Compact"/>
              <w:jc w:val="right"/>
            </w:pPr>
            <w:r>
              <w:t xml:space="preserve">0.0075</w:t>
            </w:r>
          </w:p>
        </w:tc>
        <w:tc>
          <w:tcPr/>
          <w:p>
            <w:pPr>
              <w:pStyle w:val="Compact"/>
              <w:jc w:val="left"/>
            </w:pPr>
            <w:r>
              <w:t xml:space="preserve">(0.0021 to 0.0130)</w:t>
            </w:r>
          </w:p>
        </w:tc>
        <w:tc>
          <w:tcPr/>
          <w:p>
            <w:pPr>
              <w:pStyle w:val="Compact"/>
              <w:jc w:val="right"/>
            </w:pPr>
            <w:r>
              <w:t xml:space="preserve">0.015</w:t>
            </w:r>
          </w:p>
        </w:tc>
      </w:tr>
    </w:tbl>
    <w:p/>
    <w:p>
      <w:pPr>
        <w:pStyle w:val="TableCaption"/>
      </w:pPr>
      <w:r>
        <w:rPr>
          <w:bCs/>
          <w:b/>
        </w:rPr>
        <w:t xml:space="preserve">Supplementary Table S6.</w:t>
      </w:r>
      <w:r>
        <w:t xml:space="preserve"> </w:t>
      </w:r>
      <w:r>
        <w:t xml:space="preserve">Kitagawa decomposition of the change in the crude rate, completed ages 7 years and older (post hoc analysis). Rates and components per 100,000; population from the IBGE 2018 projection. The two components sum to the change in the crude rate.</w:t>
      </w:r>
      <w:r>
        <w:t xml:space="preserve"> </w:t>
      </w:r>
      <w:r>
        <w:rPr>
          <w:vertAlign w:val="superscript"/>
        </w:rPr>
        <w:t xml:space="preserve">a</w:t>
      </w:r>
      <w:r>
        <w:t xml:space="preserve">Age-composition component as a percentage of the change in the crude rate; it exceeds 100% when the age-specific-rate component is negative, that is, when changes in age-specific rates partly offset the effect of the changing age composition.</w:t>
      </w:r>
    </w:p>
    <w:tbl>
      <w:tblPr>
        <w:tblStyle w:val="Table"/>
        <w:tblW w:type="pct" w:w="5000"/>
        <w:tblLook w:firstRow="1" w:lastRow="0" w:firstColumn="0" w:lastColumn="0" w:noHBand="0" w:noVBand="0" w:val="0020"/>
        <w:jc w:val="start"/>
        <w:tblCaption w:val="Supplementary Table S6. Kitagawa decomposition of the change in the crude rate, completed ages 7 years and older (post hoc analysis). Rates and components per 100,000; population from the IBGE 2018 projection. The two components sum to the change in the crude rate. aAge-composition component as a percentage of the change in the crude rate; it exceeds 100% when the age-specific-rate component is negative, that is, when changes in age-specific rates partly offset the effect of the changing age composition."/>
      </w:tblPr>
      <w:tblGrid>
        <w:gridCol w:w="1000"/>
        <w:gridCol w:w="1000"/>
        <w:gridCol w:w="833"/>
        <w:gridCol w:w="1250"/>
        <w:gridCol w:w="1333"/>
        <w:gridCol w:w="1250"/>
        <w:gridCol w:w="1250"/>
      </w:tblGrid>
      <w:tr>
        <w:trPr>
          <w:tblHeader w:val="true"/>
        </w:trPr>
        <w:tc>
          <w:tcPr/>
          <w:p>
            <w:pPr>
              <w:pStyle w:val="Compact"/>
              <w:jc w:val="left"/>
            </w:pPr>
            <w:r>
              <w:t xml:space="preserve">Years compared</w:t>
            </w:r>
          </w:p>
        </w:tc>
        <w:tc>
          <w:tcPr/>
          <w:p>
            <w:pPr>
              <w:pStyle w:val="Compact"/>
              <w:jc w:val="right"/>
            </w:pPr>
            <w:r>
              <w:t xml:space="preserve">Crude rate, start / end</w:t>
            </w:r>
          </w:p>
        </w:tc>
        <w:tc>
          <w:tcPr/>
          <w:p>
            <w:pPr>
              <w:pStyle w:val="Compact"/>
              <w:jc w:val="right"/>
            </w:pPr>
            <w:r>
              <w:t xml:space="preserve">Change</w:t>
            </w:r>
          </w:p>
        </w:tc>
        <w:tc>
          <w:tcPr/>
          <w:p>
            <w:pPr>
              <w:pStyle w:val="Compact"/>
              <w:jc w:val="right"/>
            </w:pPr>
            <w:r>
              <w:t xml:space="preserve">Age composition</w:t>
            </w:r>
          </w:p>
        </w:tc>
        <w:tc>
          <w:tcPr/>
          <w:p>
            <w:pPr>
              <w:pStyle w:val="Compact"/>
              <w:jc w:val="right"/>
            </w:pPr>
            <w:r>
              <w:t xml:space="preserve">Age-specific rates</w:t>
            </w:r>
          </w:p>
        </w:tc>
        <w:tc>
          <w:tcPr/>
          <w:p>
            <w:pPr>
              <w:pStyle w:val="Compact"/>
              <w:jc w:val="right"/>
            </w:pPr>
            <w:r>
              <w:t xml:space="preserve">Composition share (%)</w:t>
            </w:r>
            <w:r>
              <w:rPr>
                <w:vertAlign w:val="superscript"/>
              </w:rPr>
              <w:t xml:space="preserve">a</w:t>
            </w:r>
          </w:p>
        </w:tc>
        <w:tc>
          <w:tcPr/>
          <w:p>
            <w:pPr>
              <w:pStyle w:val="Compact"/>
              <w:jc w:val="right"/>
            </w:pPr>
            <w:r>
              <w:t xml:space="preserve">Ages ≥60 in composition (%)</w:t>
            </w:r>
          </w:p>
        </w:tc>
      </w:tr>
      <w:tr>
        <w:tc>
          <w:tcPr/>
          <w:p>
            <w:pPr>
              <w:pStyle w:val="Compact"/>
              <w:jc w:val="left"/>
            </w:pPr>
            <w:r>
              <w:t xml:space="preserve">2014–2021</w:t>
            </w:r>
          </w:p>
        </w:tc>
        <w:tc>
          <w:tcPr/>
          <w:p>
            <w:pPr>
              <w:pStyle w:val="Compact"/>
              <w:jc w:val="right"/>
            </w:pPr>
            <w:r>
              <w:t xml:space="preserve">1.123 / 1.258</w:t>
            </w:r>
          </w:p>
        </w:tc>
        <w:tc>
          <w:tcPr/>
          <w:p>
            <w:pPr>
              <w:pStyle w:val="Compact"/>
              <w:jc w:val="right"/>
            </w:pPr>
            <w:r>
              <w:t xml:space="preserve">+0.135</w:t>
            </w:r>
          </w:p>
        </w:tc>
        <w:tc>
          <w:tcPr/>
          <w:p>
            <w:pPr>
              <w:pStyle w:val="Compact"/>
              <w:jc w:val="right"/>
            </w:pPr>
            <w:r>
              <w:t xml:space="preserve">+0.191</w:t>
            </w:r>
          </w:p>
        </w:tc>
        <w:tc>
          <w:tcPr/>
          <w:p>
            <w:pPr>
              <w:pStyle w:val="Compact"/>
              <w:jc w:val="right"/>
            </w:pPr>
            <w:r>
              <w:t xml:space="preserve">−0.057</w:t>
            </w:r>
          </w:p>
        </w:tc>
        <w:tc>
          <w:tcPr/>
          <w:p>
            <w:pPr>
              <w:pStyle w:val="Compact"/>
              <w:jc w:val="right"/>
            </w:pPr>
            <w:r>
              <w:t xml:space="preserve">142</w:t>
            </w:r>
          </w:p>
        </w:tc>
        <w:tc>
          <w:tcPr/>
          <w:p>
            <w:pPr>
              <w:pStyle w:val="Compact"/>
              <w:jc w:val="right"/>
            </w:pPr>
            <w:r>
              <w:t xml:space="preserve">95</w:t>
            </w:r>
          </w:p>
        </w:tc>
      </w:tr>
      <w:tr>
        <w:tc>
          <w:tcPr/>
          <w:p>
            <w:pPr>
              <w:pStyle w:val="Compact"/>
              <w:jc w:val="left"/>
            </w:pPr>
            <w:r>
              <w:t xml:space="preserve">2014–2019</w:t>
            </w:r>
          </w:p>
        </w:tc>
        <w:tc>
          <w:tcPr/>
          <w:p>
            <w:pPr>
              <w:pStyle w:val="Compact"/>
              <w:jc w:val="right"/>
            </w:pPr>
            <w:r>
              <w:t xml:space="preserve">1.123 / 1.276</w:t>
            </w:r>
          </w:p>
        </w:tc>
        <w:tc>
          <w:tcPr/>
          <w:p>
            <w:pPr>
              <w:pStyle w:val="Compact"/>
              <w:jc w:val="right"/>
            </w:pPr>
            <w:r>
              <w:t xml:space="preserve">+0.154</w:t>
            </w:r>
          </w:p>
        </w:tc>
        <w:tc>
          <w:tcPr/>
          <w:p>
            <w:pPr>
              <w:pStyle w:val="Compact"/>
              <w:jc w:val="right"/>
            </w:pPr>
            <w:r>
              <w:t xml:space="preserve">+0.138</w:t>
            </w:r>
          </w:p>
        </w:tc>
        <w:tc>
          <w:tcPr/>
          <w:p>
            <w:pPr>
              <w:pStyle w:val="Compact"/>
              <w:jc w:val="right"/>
            </w:pPr>
            <w:r>
              <w:t xml:space="preserve">+0.016</w:t>
            </w:r>
          </w:p>
        </w:tc>
        <w:tc>
          <w:tcPr/>
          <w:p>
            <w:pPr>
              <w:pStyle w:val="Compact"/>
              <w:jc w:val="right"/>
            </w:pPr>
            <w:r>
              <w:t xml:space="preserve">90</w:t>
            </w:r>
          </w:p>
        </w:tc>
        <w:tc>
          <w:tcPr/>
          <w:p>
            <w:pPr>
              <w:pStyle w:val="Compact"/>
              <w:jc w:val="right"/>
            </w:pPr>
            <w:r>
              <w:t xml:space="preserve">95</w:t>
            </w:r>
          </w:p>
        </w:tc>
      </w:tr>
      <w:tr>
        <w:tc>
          <w:tcPr/>
          <w:p>
            <w:pPr>
              <w:pStyle w:val="Compact"/>
              <w:jc w:val="left"/>
            </w:pPr>
            <w:r>
              <w:t xml:space="preserve">2014–2020</w:t>
            </w:r>
          </w:p>
        </w:tc>
        <w:tc>
          <w:tcPr/>
          <w:p>
            <w:pPr>
              <w:pStyle w:val="Compact"/>
              <w:jc w:val="right"/>
            </w:pPr>
            <w:r>
              <w:t xml:space="preserve">1.123 / 1.401</w:t>
            </w:r>
          </w:p>
        </w:tc>
        <w:tc>
          <w:tcPr/>
          <w:p>
            <w:pPr>
              <w:pStyle w:val="Compact"/>
              <w:jc w:val="right"/>
            </w:pPr>
            <w:r>
              <w:t xml:space="preserve">+0.278</w:t>
            </w:r>
          </w:p>
        </w:tc>
        <w:tc>
          <w:tcPr/>
          <w:p>
            <w:pPr>
              <w:pStyle w:val="Compact"/>
              <w:jc w:val="right"/>
            </w:pPr>
            <w:r>
              <w:t xml:space="preserve">+0.171</w:t>
            </w:r>
          </w:p>
        </w:tc>
        <w:tc>
          <w:tcPr/>
          <w:p>
            <w:pPr>
              <w:pStyle w:val="Compact"/>
              <w:jc w:val="right"/>
            </w:pPr>
            <w:r>
              <w:t xml:space="preserve">+0.107</w:t>
            </w:r>
          </w:p>
        </w:tc>
        <w:tc>
          <w:tcPr/>
          <w:p>
            <w:pPr>
              <w:pStyle w:val="Compact"/>
              <w:jc w:val="right"/>
            </w:pPr>
            <w:r>
              <w:t xml:space="preserve">62</w:t>
            </w:r>
          </w:p>
        </w:tc>
        <w:tc>
          <w:tcPr/>
          <w:p>
            <w:pPr>
              <w:pStyle w:val="Compact"/>
              <w:jc w:val="right"/>
            </w:pPr>
            <w:r>
              <w:t xml:space="preserve">94</w:t>
            </w:r>
          </w:p>
        </w:tc>
      </w:tr>
      <w:tr>
        <w:tc>
          <w:tcPr/>
          <w:p>
            <w:pPr>
              <w:pStyle w:val="Compact"/>
              <w:jc w:val="left"/>
            </w:pPr>
            <w:r>
              <w:t xml:space="preserve">2015–2021</w:t>
            </w:r>
          </w:p>
        </w:tc>
        <w:tc>
          <w:tcPr/>
          <w:p>
            <w:pPr>
              <w:pStyle w:val="Compact"/>
              <w:jc w:val="right"/>
            </w:pPr>
            <w:r>
              <w:t xml:space="preserve">1.171 / 1.258</w:t>
            </w:r>
          </w:p>
        </w:tc>
        <w:tc>
          <w:tcPr/>
          <w:p>
            <w:pPr>
              <w:pStyle w:val="Compact"/>
              <w:jc w:val="right"/>
            </w:pPr>
            <w:r>
              <w:t xml:space="preserve">+0.087</w:t>
            </w:r>
          </w:p>
        </w:tc>
        <w:tc>
          <w:tcPr/>
          <w:p>
            <w:pPr>
              <w:pStyle w:val="Compact"/>
              <w:jc w:val="right"/>
            </w:pPr>
            <w:r>
              <w:t xml:space="preserve">+0.167</w:t>
            </w:r>
          </w:p>
        </w:tc>
        <w:tc>
          <w:tcPr/>
          <w:p>
            <w:pPr>
              <w:pStyle w:val="Compact"/>
              <w:jc w:val="right"/>
            </w:pPr>
            <w:r>
              <w:t xml:space="preserve">−0.081</w:t>
            </w:r>
          </w:p>
        </w:tc>
        <w:tc>
          <w:tcPr/>
          <w:p>
            <w:pPr>
              <w:pStyle w:val="Compact"/>
              <w:jc w:val="right"/>
            </w:pPr>
            <w:r>
              <w:t xml:space="preserve">193</w:t>
            </w:r>
          </w:p>
        </w:tc>
        <w:tc>
          <w:tcPr/>
          <w:p>
            <w:pPr>
              <w:pStyle w:val="Compact"/>
              <w:jc w:val="right"/>
            </w:pPr>
            <w:r>
              <w:t xml:space="preserve">95</w:t>
            </w:r>
          </w:p>
        </w:tc>
      </w:tr>
      <w:tr>
        <w:tc>
          <w:tcPr/>
          <w:p>
            <w:pPr>
              <w:pStyle w:val="Compact"/>
              <w:jc w:val="left"/>
            </w:pPr>
            <w:r>
              <w:t xml:space="preserve">2016–2021</w:t>
            </w:r>
          </w:p>
        </w:tc>
        <w:tc>
          <w:tcPr/>
          <w:p>
            <w:pPr>
              <w:pStyle w:val="Compact"/>
              <w:jc w:val="right"/>
            </w:pPr>
            <w:r>
              <w:t xml:space="preserve">1.184 / 1.258</w:t>
            </w:r>
          </w:p>
        </w:tc>
        <w:tc>
          <w:tcPr/>
          <w:p>
            <w:pPr>
              <w:pStyle w:val="Compact"/>
              <w:jc w:val="right"/>
            </w:pPr>
            <w:r>
              <w:t xml:space="preserve">+0.073</w:t>
            </w:r>
          </w:p>
        </w:tc>
        <w:tc>
          <w:tcPr/>
          <w:p>
            <w:pPr>
              <w:pStyle w:val="Compact"/>
              <w:jc w:val="right"/>
            </w:pPr>
            <w:r>
              <w:t xml:space="preserve">+0.140</w:t>
            </w:r>
          </w:p>
        </w:tc>
        <w:tc>
          <w:tcPr/>
          <w:p>
            <w:pPr>
              <w:pStyle w:val="Compact"/>
              <w:jc w:val="right"/>
            </w:pPr>
            <w:r>
              <w:t xml:space="preserve">−0.067</w:t>
            </w:r>
          </w:p>
        </w:tc>
        <w:tc>
          <w:tcPr/>
          <w:p>
            <w:pPr>
              <w:pStyle w:val="Compact"/>
              <w:jc w:val="right"/>
            </w:pPr>
            <w:r>
              <w:t xml:space="preserve">191</w:t>
            </w:r>
          </w:p>
        </w:tc>
        <w:tc>
          <w:tcPr/>
          <w:p>
            <w:pPr>
              <w:pStyle w:val="Compact"/>
              <w:jc w:val="right"/>
            </w:pPr>
            <w:r>
              <w:t xml:space="preserve">95</w:t>
            </w:r>
          </w:p>
        </w:tc>
      </w:tr>
      <w:tr>
        <w:tc>
          <w:tcPr/>
          <w:p>
            <w:pPr>
              <w:pStyle w:val="Compact"/>
              <w:jc w:val="left"/>
            </w:pPr>
            <w:r>
              <w:t xml:space="preserve">2014–2018</w:t>
            </w:r>
          </w:p>
        </w:tc>
        <w:tc>
          <w:tcPr/>
          <w:p>
            <w:pPr>
              <w:pStyle w:val="Compact"/>
              <w:jc w:val="right"/>
            </w:pPr>
            <w:r>
              <w:t xml:space="preserve">1.123 / 1.194</w:t>
            </w:r>
          </w:p>
        </w:tc>
        <w:tc>
          <w:tcPr/>
          <w:p>
            <w:pPr>
              <w:pStyle w:val="Compact"/>
              <w:jc w:val="right"/>
            </w:pPr>
            <w:r>
              <w:t xml:space="preserve">+0.071</w:t>
            </w:r>
          </w:p>
        </w:tc>
        <w:tc>
          <w:tcPr/>
          <w:p>
            <w:pPr>
              <w:pStyle w:val="Compact"/>
              <w:jc w:val="right"/>
            </w:pPr>
            <w:r>
              <w:t xml:space="preserve">+0.107</w:t>
            </w:r>
          </w:p>
        </w:tc>
        <w:tc>
          <w:tcPr/>
          <w:p>
            <w:pPr>
              <w:pStyle w:val="Compact"/>
              <w:jc w:val="right"/>
            </w:pPr>
            <w:r>
              <w:t xml:space="preserve">−0.036</w:t>
            </w:r>
          </w:p>
        </w:tc>
        <w:tc>
          <w:tcPr/>
          <w:p>
            <w:pPr>
              <w:pStyle w:val="Compact"/>
              <w:jc w:val="right"/>
            </w:pPr>
            <w:r>
              <w:t xml:space="preserve">151</w:t>
            </w:r>
          </w:p>
        </w:tc>
        <w:tc>
          <w:tcPr/>
          <w:p>
            <w:pPr>
              <w:pStyle w:val="Compact"/>
              <w:jc w:val="right"/>
            </w:pPr>
            <w:r>
              <w:t xml:space="preserve">94</w:t>
            </w:r>
          </w:p>
        </w:tc>
      </w:tr>
    </w:tbl>
    <w:p>
      <w:pPr>
        <w:pStyle w:val="CaptionedFigure"/>
      </w:pPr>
      <w:r>
        <w:drawing>
          <wp:inline>
            <wp:extent cx="5334000" cy="5033492"/>
            <wp:effectExtent b="0" l="0" r="0" t="0"/>
            <wp:docPr descr="Supplementary Figure S1. Asthma mortality at ages 5–34 years, Brazil, 2014–2021. Upper panel: rate per 100,000 at ages 5–34 (solid line, filled circles) and at ages 7–34, the control group matching the age filter of the original analysis (dashed line, open squares). Lower panel: annual asthma deaths at ages 5–34. Population from the IBGE 2018 projection." title="" id="21" name="Picture"/>
            <a:graphic>
              <a:graphicData uri="http://schemas.openxmlformats.org/drawingml/2006/picture">
                <pic:pic>
                  <pic:nvPicPr>
                    <pic:cNvPr descr="figS1_age_5_34_mortality.jpg" id="22" name="Picture"/>
                    <pic:cNvPicPr>
                      <a:picLocks noChangeArrowheads="1" noChangeAspect="1"/>
                    </pic:cNvPicPr>
                  </pic:nvPicPr>
                  <pic:blipFill>
                    <a:blip r:embed="rId20"/>
                    <a:stretch>
                      <a:fillRect/>
                    </a:stretch>
                  </pic:blipFill>
                  <pic:spPr bwMode="auto">
                    <a:xfrm>
                      <a:off x="0" y="0"/>
                      <a:ext cx="5334000" cy="5033492"/>
                    </a:xfrm>
                    <a:prstGeom prst="rect">
                      <a:avLst/>
                    </a:prstGeom>
                    <a:noFill/>
                    <a:ln w="9525">
                      <a:noFill/>
                      <a:headEnd/>
                      <a:tailEnd/>
                    </a:ln>
                  </pic:spPr>
                </pic:pic>
              </a:graphicData>
            </a:graphic>
          </wp:inline>
        </w:drawing>
      </w:r>
    </w:p>
    <w:p>
      <w:pPr>
        <w:pStyle w:val="ImageCaption"/>
      </w:pPr>
      <w:r>
        <w:rPr>
          <w:bCs/>
          <w:b/>
        </w:rPr>
        <w:t xml:space="preserve">Supplementary Figure S1.</w:t>
      </w:r>
      <w:r>
        <w:t xml:space="preserve"> </w:t>
      </w:r>
      <w:r>
        <w:t xml:space="preserve">Asthma mortality at ages 5–34 years, Brazil, 2014–2021. Upper panel: rate per 100,000 at ages 5–34 (solid line, filled circles) and at ages 7–34, the control group matching the age filter of the original analysis (dashed line, open squares). Lower panel: annual asthma deaths at ages 5–34. Population from the IBGE 2018 projection.</w:t>
      </w:r>
    </w:p>
    <w:p>
      <w:pPr>
        <w:pStyle w:val="BodyText"/>
      </w:pPr>
      <w:r>
        <w:t xml:space="preserve">Age-specific Kitagawa contributions for each pair of years are available in the repository (reanalysis/data/kitagawa_age_contributions.csv).</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 Reassessing the reported increase in asthma mortality in Brazil: reproduction and age-specific reanalysis, 2014–2021</dc:title>
  <dc:creator/>
  <cp:keywords/>
  <dcterms:created xsi:type="dcterms:W3CDTF">2026-10-10T11:13:10Z</dcterms:created>
  <dcterms:modified xsi:type="dcterms:W3CDTF">2026-10-10T11:13:10Z</dcterms:modified>
</cp:coreProperties>
</file>

<file path=docProps/custom.xml><?xml version="1.0" encoding="utf-8"?>
<Properties xmlns="http://schemas.openxmlformats.org/officeDocument/2006/custom-properties" xmlns:vt="http://schemas.openxmlformats.org/officeDocument/2006/docPropsVTypes"/>
</file>