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rFonts w:ascii="Times New Roman" w:cs="Times New Roman" w:eastAsia="Times New Roman" w:hAnsi="Times New Roman"/>
          <w:b/>
          <w:bCs/>
          <w:sz w:val="24"/>
          <w:szCs w:val="24"/>
        </w:rPr>
        <w:t xml:space="preserve">1.1.3. Arquitectura de Datos</w:t>
      </w:r>
    </w:p>
    <w:p>
      <w:pPr>
        <w:spacing w:after="160" w:line="276" w:lineRule="auto"/>
        <w:ind w:firstLine="720"/>
        <w:jc w:val="both"/>
      </w:pPr>
      <w:r>
        <w:rPr>
          <w:rFonts w:ascii="Times New Roman" w:cs="Times New Roman" w:eastAsia="Times New Roman" w:hAnsi="Times New Roman"/>
          <w:sz w:val="24"/>
          <w:szCs w:val="24"/>
        </w:rPr>
        <w:t xml:space="preserve">Para manejar el flujo asíncrono y el procesamiento intensivo detallados en las arquitecturas previas, es necesario establecer una estructura sólida para la persistencia de la información del sistema. Con este propósito, la arquitectura de datos de APU Guard se organiza en dos capas complementarias: un modelo de base de datos relacional que gestiona los metadatos operacionales, los estados del sistema y las geometrías vectoriales; y un repositorio de datos no estructurados alojado en Amazon S3 que opera como data lake para los artefactos de mayor volumen, tales como imágenes satelitales, tensores de inferencia y evidencias fotográficas de campo.</w:t>
      </w:r>
    </w:p>
    <w:p>
      <w:pPr>
        <w:pStyle w:val="Heading3"/>
      </w:pPr>
      <w:r>
        <w:rPr>
          <w:rFonts w:ascii="Times New Roman" w:cs="Times New Roman" w:eastAsia="Times New Roman" w:hAnsi="Times New Roman"/>
          <w:b/>
          <w:bCs/>
          <w:sz w:val="24"/>
          <w:szCs w:val="24"/>
        </w:rPr>
        <w:t xml:space="preserve">1.1.3.1. Modelo de Base de Datos Relacional (PostgreSQL + PostGIS)</w:t>
      </w:r>
    </w:p>
    <w:p>
      <w:pPr>
        <w:spacing w:after="160" w:line="276" w:lineRule="auto"/>
        <w:ind w:firstLine="720"/>
        <w:jc w:val="both"/>
      </w:pPr>
      <w:r>
        <w:rPr>
          <w:rFonts w:ascii="Times New Roman" w:cs="Times New Roman" w:eastAsia="Times New Roman" w:hAnsi="Times New Roman"/>
          <w:sz w:val="24"/>
          <w:szCs w:val="24"/>
        </w:rPr>
        <w:t xml:space="preserve">Para la persistencia de la información estructurada, el sistema emplea PostgreSQL (v14.0) equipado con la extensión espacial PostGIS (v3.3), lo cual permite realizar consultas topológicas eficientes directamente a nivel de base de datos. El modelo entidad-relación resultante, que se presenta a continuación en la Figura 14, ha sido concebido bajo un enfoque relacional con capacidades geoespaciales nativas, garantizando la integridad de las transacciones y la optimización de las consultas necesarias para el monitoreo continuo de la Reserva Nacional de Tambopata.</w:t>
      </w:r>
    </w:p>
    <w:p>
      <w:pPr>
        <w:spacing w:after="160" w:line="276" w:lineRule="auto"/>
        <w:ind w:firstLine="0"/>
        <w:jc w:val="center"/>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Insertar aquí el nuevo Diagrama Entidad-Relación — Figura 14</w:t>
      </w:r>
      <w:r>
        <w:rPr>
          <w:rFonts w:ascii="Times New Roman" w:cs="Times New Roman" w:eastAsia="Times New Roman" w:hAnsi="Times New Roman"/>
          <w:sz w:val="24"/>
          <w:szCs w:val="24"/>
        </w:rPr>
        <w:t xml:space="preserve">]</w:t>
      </w:r>
    </w:p>
    <w:p>
      <w:pPr>
        <w:spacing w:after="160" w:line="276" w:lineRule="auto"/>
        <w:ind w:firstLine="0"/>
        <w:jc w:val="center"/>
      </w:pPr>
      <w:r>
        <w:rPr>
          <w:rFonts w:ascii="Times New Roman" w:cs="Times New Roman" w:eastAsia="Times New Roman" w:hAnsi="Times New Roman"/>
          <w:sz w:val="24"/>
          <w:szCs w:val="24"/>
        </w:rPr>
        <w:t xml:space="preserve">Figura 14</w:t>
      </w:r>
    </w:p>
    <w:p>
      <w:pPr>
        <w:spacing w:after="160" w:line="276" w:lineRule="auto"/>
        <w:ind w:firstLine="0"/>
        <w:jc w:val="center"/>
      </w:pPr>
      <w:r>
        <w:rPr>
          <w:rFonts w:ascii="Times New Roman" w:cs="Times New Roman" w:eastAsia="Times New Roman" w:hAnsi="Times New Roman"/>
          <w:i/>
          <w:iCs/>
          <w:sz w:val="24"/>
          <w:szCs w:val="24"/>
        </w:rPr>
        <w:t xml:space="preserve">Diagrama de Base de Datos de APU Guard</w:t>
      </w:r>
    </w:p>
    <w:p>
      <w:pPr>
        <w:spacing w:after="160" w:line="276" w:lineRule="auto"/>
        <w:ind w:firstLine="720"/>
        <w:jc w:val="both"/>
      </w:pPr>
      <w:r>
        <w:rPr>
          <w:rFonts w:ascii="Times New Roman" w:cs="Times New Roman" w:eastAsia="Times New Roman" w:hAnsi="Times New Roman"/>
          <w:sz w:val="24"/>
          <w:szCs w:val="24"/>
        </w:rPr>
        <w:t xml:space="preserve">De acuerdo con lo mostrado en la Figura 14, el esquema de la base de datos se estructura lógicamente en cinco dominios principales, los cuales interactúan para dar soporte integral a la aplicación.</w:t>
      </w:r>
    </w:p>
    <w:p>
      <w:pPr>
        <w:spacing w:after="160" w:line="276" w:lineRule="auto"/>
        <w:ind w:firstLine="720"/>
        <w:jc w:val="both"/>
      </w:pPr>
      <w:r>
        <w:rPr>
          <w:rFonts w:ascii="Times New Roman" w:cs="Times New Roman" w:eastAsia="Times New Roman" w:hAnsi="Times New Roman"/>
          <w:b/>
          <w:bCs/>
          <w:sz w:val="24"/>
          <w:szCs w:val="24"/>
        </w:rPr>
        <w:t xml:space="preserve">Dominio de Configuración y Parámetros Operacionales. </w:t>
      </w:r>
      <w:r>
        <w:rPr>
          <w:rFonts w:ascii="Times New Roman" w:cs="Times New Roman" w:eastAsia="Times New Roman" w:hAnsi="Times New Roman"/>
          <w:sz w:val="24"/>
          <w:szCs w:val="24"/>
        </w:rPr>
        <w:t xml:space="preserve">La entidad </w:t>
      </w:r>
      <w:r>
        <w:rPr>
          <w:rFonts w:ascii="Times New Roman" w:cs="Times New Roman" w:eastAsia="Times New Roman" w:hAnsi="Times New Roman"/>
          <w:i/>
          <w:iCs/>
          <w:sz w:val="24"/>
          <w:szCs w:val="24"/>
        </w:rPr>
        <w:t xml:space="preserve">core_configuracionglobal</w:t>
      </w:r>
      <w:r>
        <w:rPr>
          <w:rFonts w:ascii="Times New Roman" w:cs="Times New Roman" w:eastAsia="Times New Roman" w:hAnsi="Times New Roman"/>
          <w:sz w:val="24"/>
          <w:szCs w:val="24"/>
        </w:rPr>
        <w:t xml:space="preserve"> implementa un patrón de tabla singleton (un único registro con </w:t>
      </w:r>
      <w:r>
        <w:rPr>
          <w:rFonts w:ascii="Times New Roman" w:cs="Times New Roman" w:eastAsia="Times New Roman" w:hAnsi="Times New Roman"/>
          <w:i/>
          <w:iCs/>
          <w:sz w:val="24"/>
          <w:szCs w:val="24"/>
        </w:rPr>
        <w:t xml:space="preserve">id=1</w:t>
      </w:r>
      <w:r>
        <w:rPr>
          <w:rFonts w:ascii="Times New Roman" w:cs="Times New Roman" w:eastAsia="Times New Roman" w:hAnsi="Times New Roman"/>
          <w:sz w:val="24"/>
          <w:szCs w:val="24"/>
        </w:rPr>
        <w:t xml:space="preserve">), que centraliza los parámetros operacionales del sistema. El atributo más relevante de esta entidad es </w:t>
      </w:r>
      <w:r>
        <w:rPr>
          <w:rFonts w:ascii="Times New Roman" w:cs="Times New Roman" w:eastAsia="Times New Roman" w:hAnsi="Times New Roman"/>
          <w:i/>
          <w:iCs/>
          <w:sz w:val="24"/>
          <w:szCs w:val="24"/>
        </w:rPr>
        <w:t xml:space="preserve">umbral_recuperacion_quincenas</w:t>
      </w:r>
      <w:r>
        <w:rPr>
          <w:rFonts w:ascii="Times New Roman" w:cs="Times New Roman" w:eastAsia="Times New Roman" w:hAnsi="Times New Roman"/>
          <w:sz w:val="24"/>
          <w:szCs w:val="24"/>
        </w:rPr>
        <w:t xml:space="preserve">, el cual define la cantidad de quincenas consecutivas sin detección de deforestación que deben transcurrir para que el sistema declare automáticamente una zona como ecológicamente recuperada. Su diseño como singleton garantiza que los parámetros sean consistentes en todo el sistema sin posibilidad de conflictos de configuración.</w:t>
      </w:r>
    </w:p>
    <w:p>
      <w:pPr>
        <w:spacing w:after="160" w:line="276" w:lineRule="auto"/>
        <w:ind w:firstLine="720"/>
        <w:jc w:val="both"/>
      </w:pPr>
      <w:r>
        <w:rPr>
          <w:rFonts w:ascii="Times New Roman" w:cs="Times New Roman" w:eastAsia="Times New Roman" w:hAnsi="Times New Roman"/>
          <w:b/>
          <w:bCs/>
          <w:sz w:val="24"/>
          <w:szCs w:val="24"/>
        </w:rPr>
        <w:t xml:space="preserve">Dominio de Seguridad y Roles de Usuario. </w:t>
      </w:r>
      <w:r>
        <w:rPr>
          <w:rFonts w:ascii="Times New Roman" w:cs="Times New Roman" w:eastAsia="Times New Roman" w:hAnsi="Times New Roman"/>
          <w:sz w:val="24"/>
          <w:szCs w:val="24"/>
        </w:rPr>
        <w:t xml:space="preserve">La gestión de accesos se apoya en la entidad nativa </w:t>
      </w:r>
      <w:r>
        <w:rPr>
          <w:rFonts w:ascii="Times New Roman" w:cs="Times New Roman" w:eastAsia="Times New Roman" w:hAnsi="Times New Roman"/>
          <w:i/>
          <w:iCs/>
          <w:sz w:val="24"/>
          <w:szCs w:val="24"/>
        </w:rPr>
        <w:t xml:space="preserve">auth_user</w:t>
      </w:r>
      <w:r>
        <w:rPr>
          <w:rFonts w:ascii="Times New Roman" w:cs="Times New Roman" w:eastAsia="Times New Roman" w:hAnsi="Times New Roman"/>
          <w:sz w:val="24"/>
          <w:szCs w:val="24"/>
        </w:rPr>
        <w:t xml:space="preserve"> de Django, cuyo atributo booleano </w:t>
      </w:r>
      <w:r>
        <w:rPr>
          <w:rFonts w:ascii="Times New Roman" w:cs="Times New Roman" w:eastAsia="Times New Roman" w:hAnsi="Times New Roman"/>
          <w:i/>
          <w:iCs/>
          <w:sz w:val="24"/>
          <w:szCs w:val="24"/>
        </w:rPr>
        <w:t xml:space="preserve">is_staff</w:t>
      </w:r>
      <w:r>
        <w:rPr>
          <w:rFonts w:ascii="Times New Roman" w:cs="Times New Roman" w:eastAsia="Times New Roman" w:hAnsi="Times New Roman"/>
          <w:sz w:val="24"/>
          <w:szCs w:val="24"/>
        </w:rPr>
        <w:t xml:space="preserve"> es el discriminador de roles: cuando su valor es </w:t>
      </w:r>
      <w:r>
        <w:rPr>
          <w:rFonts w:ascii="Times New Roman" w:cs="Times New Roman" w:eastAsia="Times New Roman" w:hAnsi="Times New Roman"/>
          <w:i/>
          <w:iCs/>
          <w:sz w:val="24"/>
          <w:szCs w:val="24"/>
        </w:rPr>
        <w:t xml:space="preserve">True</w:t>
      </w:r>
      <w:r>
        <w:rPr>
          <w:rFonts w:ascii="Times New Roman" w:cs="Times New Roman" w:eastAsia="Times New Roman" w:hAnsi="Times New Roman"/>
          <w:sz w:val="24"/>
          <w:szCs w:val="24"/>
        </w:rPr>
        <w:t xml:space="preserve">, el usuario posee el rol de Administrador con acceso irrestricto; cuando es </w:t>
      </w:r>
      <w:r>
        <w:rPr>
          <w:rFonts w:ascii="Times New Roman" w:cs="Times New Roman" w:eastAsia="Times New Roman" w:hAnsi="Times New Roman"/>
          <w:i/>
          <w:iCs/>
          <w:sz w:val="24"/>
          <w:szCs w:val="24"/>
        </w:rPr>
        <w:t xml:space="preserve">False</w:t>
      </w:r>
      <w:r>
        <w:rPr>
          <w:rFonts w:ascii="Times New Roman" w:cs="Times New Roman" w:eastAsia="Times New Roman" w:hAnsi="Times New Roman"/>
          <w:sz w:val="24"/>
          <w:szCs w:val="24"/>
        </w:rPr>
        <w:t xml:space="preserve">, el usuario corresponde al rol de Analista. Para este segundo rol, la entidad complementaria </w:t>
      </w:r>
      <w:r>
        <w:rPr>
          <w:rFonts w:ascii="Times New Roman" w:cs="Times New Roman" w:eastAsia="Times New Roman" w:hAnsi="Times New Roman"/>
          <w:i/>
          <w:iCs/>
          <w:sz w:val="24"/>
          <w:szCs w:val="24"/>
        </w:rPr>
        <w:t xml:space="preserve">core_perfilanalista</w:t>
      </w:r>
      <w:r>
        <w:rPr>
          <w:rFonts w:ascii="Times New Roman" w:cs="Times New Roman" w:eastAsia="Times New Roman" w:hAnsi="Times New Roman"/>
          <w:sz w:val="24"/>
          <w:szCs w:val="24"/>
        </w:rPr>
        <w:t xml:space="preserve"> extiende a </w:t>
      </w:r>
      <w:r>
        <w:rPr>
          <w:rFonts w:ascii="Times New Roman" w:cs="Times New Roman" w:eastAsia="Times New Roman" w:hAnsi="Times New Roman"/>
          <w:i/>
          <w:iCs/>
          <w:sz w:val="24"/>
          <w:szCs w:val="24"/>
        </w:rPr>
        <w:t xml:space="preserve">auth_user</w:t>
      </w:r>
      <w:r>
        <w:rPr>
          <w:rFonts w:ascii="Times New Roman" w:cs="Times New Roman" w:eastAsia="Times New Roman" w:hAnsi="Times New Roman"/>
          <w:sz w:val="24"/>
          <w:szCs w:val="24"/>
        </w:rPr>
        <w:t xml:space="preserve"> mediante una relación de uno a uno (1:1), y almacena la asignación de sectores geográficos que el analista tiene autorización para visualizar, implementada como una relación de muchos a muchos (N:M) con </w:t>
      </w:r>
      <w:r>
        <w:rPr>
          <w:rFonts w:ascii="Times New Roman" w:cs="Times New Roman" w:eastAsia="Times New Roman" w:hAnsi="Times New Roman"/>
          <w:i/>
          <w:iCs/>
          <w:sz w:val="24"/>
          <w:szCs w:val="24"/>
        </w:rPr>
        <w:t xml:space="preserve">core_sectorreserva</w:t>
      </w:r>
      <w:r>
        <w:rPr>
          <w:rFonts w:ascii="Times New Roman" w:cs="Times New Roman" w:eastAsia="Times New Roman" w:hAnsi="Times New Roman"/>
          <w:sz w:val="24"/>
          <w:szCs w:val="24"/>
        </w:rPr>
        <w:t xml:space="preserve">. Esta separación garantiza que cada analista opere únicamente sobre los datos de sus sectores asignados, sin exposición a información fuera de su jurisdicción.</w:t>
      </w:r>
    </w:p>
    <w:p>
      <w:pPr>
        <w:spacing w:after="160" w:line="276" w:lineRule="auto"/>
        <w:ind w:firstLine="720"/>
        <w:jc w:val="both"/>
      </w:pPr>
      <w:r>
        <w:rPr>
          <w:rFonts w:ascii="Times New Roman" w:cs="Times New Roman" w:eastAsia="Times New Roman" w:hAnsi="Times New Roman"/>
          <w:b/>
          <w:bCs/>
          <w:sz w:val="24"/>
          <w:szCs w:val="24"/>
        </w:rPr>
        <w:t xml:space="preserve">Dominio de Contexto Geoespacial y Personal de Campo. </w:t>
      </w:r>
      <w:r>
        <w:rPr>
          <w:rFonts w:ascii="Times New Roman" w:cs="Times New Roman" w:eastAsia="Times New Roman" w:hAnsi="Times New Roman"/>
          <w:sz w:val="24"/>
          <w:szCs w:val="24"/>
        </w:rPr>
        <w:t xml:space="preserve">Para delimitar las áreas de estudio, la entidad </w:t>
      </w:r>
      <w:r>
        <w:rPr>
          <w:rFonts w:ascii="Times New Roman" w:cs="Times New Roman" w:eastAsia="Times New Roman" w:hAnsi="Times New Roman"/>
          <w:i/>
          <w:iCs/>
          <w:sz w:val="24"/>
          <w:szCs w:val="24"/>
        </w:rPr>
        <w:t xml:space="preserve">core_sectorreserva</w:t>
      </w:r>
      <w:r>
        <w:rPr>
          <w:rFonts w:ascii="Times New Roman" w:cs="Times New Roman" w:eastAsia="Times New Roman" w:hAnsi="Times New Roman"/>
          <w:sz w:val="24"/>
          <w:szCs w:val="24"/>
        </w:rPr>
        <w:t xml:space="preserve"> almacena los cinco sectores geográficos de la Reserva Nacional de Tambopata como polígonos con sistema de referencia espacial SRID 4326, haciendo uso de la extensión PostGIS para procesar coordenadas reales en mapas bidimensionales. Vinculada a esta entidad mediante una relación de muchos a muchos (N:M), la entidad complementaria </w:t>
      </w:r>
      <w:r>
        <w:rPr>
          <w:rFonts w:ascii="Times New Roman" w:cs="Times New Roman" w:eastAsia="Times New Roman" w:hAnsi="Times New Roman"/>
          <w:i/>
          <w:iCs/>
          <w:sz w:val="24"/>
          <w:szCs w:val="24"/>
        </w:rPr>
        <w:t xml:space="preserve">core_tecnicocampo</w:t>
      </w:r>
      <w:r>
        <w:rPr>
          <w:rFonts w:ascii="Times New Roman" w:cs="Times New Roman" w:eastAsia="Times New Roman" w:hAnsi="Times New Roman"/>
          <w:sz w:val="24"/>
          <w:szCs w:val="24"/>
        </w:rPr>
        <w:t xml:space="preserve"> registra al personal responsable de la verificación física en campo. Es importante destacar que esta entidad no representa un usuario de acceso a la aplicación web; su función es exclusivamente almacenar el número telefónico en formato E.164 y los datos de contacto del técnico, información que el sistema utiliza para la emisión automática de notificaciones SMS ante una detección confirmada.</w:t>
      </w:r>
    </w:p>
    <w:p>
      <w:pPr>
        <w:spacing w:after="160" w:line="276" w:lineRule="auto"/>
        <w:ind w:firstLine="720"/>
        <w:jc w:val="both"/>
      </w:pPr>
      <w:r>
        <w:rPr>
          <w:rFonts w:ascii="Times New Roman" w:cs="Times New Roman" w:eastAsia="Times New Roman" w:hAnsi="Times New Roman"/>
          <w:b/>
          <w:bCs/>
          <w:sz w:val="24"/>
          <w:szCs w:val="24"/>
        </w:rPr>
        <w:t xml:space="preserve">Dominio de Procesamiento Satelital. </w:t>
      </w:r>
      <w:r>
        <w:rPr>
          <w:rFonts w:ascii="Times New Roman" w:cs="Times New Roman" w:eastAsia="Times New Roman" w:hAnsi="Times New Roman"/>
          <w:sz w:val="24"/>
          <w:szCs w:val="24"/>
        </w:rPr>
        <w:t xml:space="preserve">Este módulo actúa como el nexo entre el data lake en la nube y el motor de inteligencia artificial. Las entidades </w:t>
      </w:r>
      <w:r>
        <w:rPr>
          <w:rFonts w:ascii="Times New Roman" w:cs="Times New Roman" w:eastAsia="Times New Roman" w:hAnsi="Times New Roman"/>
          <w:i/>
          <w:iCs/>
          <w:sz w:val="24"/>
          <w:szCs w:val="24"/>
        </w:rPr>
        <w:t xml:space="preserve">core_capturaatelital</w:t>
      </w:r>
      <w:r>
        <w:rPr>
          <w:rFonts w:ascii="Times New Roman" w:cs="Times New Roman" w:eastAsia="Times New Roman" w:hAnsi="Times New Roman"/>
          <w:sz w:val="24"/>
          <w:szCs w:val="24"/>
        </w:rPr>
        <w:t xml:space="preserve"> (composite quincenal de imágenes Sentinel-2 descargado desde Google Earth Engine) y </w:t>
      </w:r>
      <w:r>
        <w:rPr>
          <w:rFonts w:ascii="Times New Roman" w:cs="Times New Roman" w:eastAsia="Times New Roman" w:hAnsi="Times New Roman"/>
          <w:i/>
          <w:iCs/>
          <w:sz w:val="24"/>
          <w:szCs w:val="24"/>
        </w:rPr>
        <w:t xml:space="preserve">core_parcheprocesamiento</w:t>
      </w:r>
      <w:r>
        <w:rPr>
          <w:rFonts w:ascii="Times New Roman" w:cs="Times New Roman" w:eastAsia="Times New Roman" w:hAnsi="Times New Roman"/>
          <w:sz w:val="24"/>
          <w:szCs w:val="24"/>
        </w:rPr>
        <w:t xml:space="preserve"> (recortes de 128×128 píxeles con stride de 64 píxeles) mantienen una relación jerárquica de uno a muchos (1:N). Como decisión de diseño fundamental, ninguna de estas tablas almacena archivos binarios; en su lugar, conservan las rutas de los objetos en Amazon S3 (atributos </w:t>
      </w:r>
      <w:r>
        <w:rPr>
          <w:rFonts w:ascii="Times New Roman" w:cs="Times New Roman" w:eastAsia="Times New Roman" w:hAnsi="Times New Roman"/>
          <w:i/>
          <w:iCs/>
          <w:sz w:val="24"/>
          <w:szCs w:val="24"/>
        </w:rPr>
        <w:t xml:space="preserve">s3_path_raw</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s3_path_tensor</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s3_path_resultado</w:t>
      </w:r>
      <w:r>
        <w:rPr>
          <w:rFonts w:ascii="Times New Roman" w:cs="Times New Roman" w:eastAsia="Times New Roman" w:hAnsi="Times New Roman"/>
          <w:sz w:val="24"/>
          <w:szCs w:val="24"/>
        </w:rPr>
        <w:t xml:space="preserve">). La entidad </w:t>
      </w:r>
      <w:r>
        <w:rPr>
          <w:rFonts w:ascii="Times New Roman" w:cs="Times New Roman" w:eastAsia="Times New Roman" w:hAnsi="Times New Roman"/>
          <w:i/>
          <w:iCs/>
          <w:sz w:val="24"/>
          <w:szCs w:val="24"/>
        </w:rPr>
        <w:t xml:space="preserve">core_parcheprocesamiento</w:t>
      </w:r>
      <w:r>
        <w:rPr>
          <w:rFonts w:ascii="Times New Roman" w:cs="Times New Roman" w:eastAsia="Times New Roman" w:hAnsi="Times New Roman"/>
          <w:sz w:val="24"/>
          <w:szCs w:val="24"/>
        </w:rPr>
        <w:t xml:space="preserve"> incorpora adicionalmente los atributos </w:t>
      </w:r>
      <w:r>
        <w:rPr>
          <w:rFonts w:ascii="Times New Roman" w:cs="Times New Roman" w:eastAsia="Times New Roman" w:hAnsi="Times New Roman"/>
          <w:i/>
          <w:iCs/>
          <w:sz w:val="24"/>
          <w:szCs w:val="24"/>
        </w:rPr>
        <w:t xml:space="preserve">sagemaker_request_id</w:t>
      </w:r>
      <w:r>
        <w:rPr>
          <w:rFonts w:ascii="Times New Roman" w:cs="Times New Roman" w:eastAsia="Times New Roman" w:hAnsi="Times New Roman"/>
          <w:sz w:val="24"/>
          <w:szCs w:val="24"/>
        </w:rPr>
        <w:t xml:space="preserve"> para el seguimiento de las solicitudes de inferencia asíncrona, y un campo de geometría PostGIS que registra el footprint georreferenciado del parche en coordenadas WGS84.</w:t>
      </w:r>
    </w:p>
    <w:p>
      <w:pPr>
        <w:spacing w:after="160" w:line="276" w:lineRule="auto"/>
        <w:ind w:firstLine="720"/>
        <w:jc w:val="both"/>
      </w:pPr>
      <w:r>
        <w:rPr>
          <w:rFonts w:ascii="Times New Roman" w:cs="Times New Roman" w:eastAsia="Times New Roman" w:hAnsi="Times New Roman"/>
          <w:b/>
          <w:bCs/>
          <w:sz w:val="24"/>
          <w:szCs w:val="24"/>
        </w:rPr>
        <w:t xml:space="preserve">Dominio de Inteligencia Artificial y Alertas. </w:t>
      </w:r>
      <w:r>
        <w:rPr>
          <w:rFonts w:ascii="Times New Roman" w:cs="Times New Roman" w:eastAsia="Times New Roman" w:hAnsi="Times New Roman"/>
          <w:sz w:val="24"/>
          <w:szCs w:val="24"/>
        </w:rPr>
        <w:t xml:space="preserve">Representa el núcleo del valor de negocio de APU Guard. La entidad </w:t>
      </w:r>
      <w:r>
        <w:rPr>
          <w:rFonts w:ascii="Times New Roman" w:cs="Times New Roman" w:eastAsia="Times New Roman" w:hAnsi="Times New Roman"/>
          <w:i/>
          <w:iCs/>
          <w:sz w:val="24"/>
          <w:szCs w:val="24"/>
        </w:rPr>
        <w:t xml:space="preserve">core_casoauditoria</w:t>
      </w:r>
      <w:r>
        <w:rPr>
          <w:rFonts w:ascii="Times New Roman" w:cs="Times New Roman" w:eastAsia="Times New Roman" w:hAnsi="Times New Roman"/>
          <w:sz w:val="24"/>
          <w:szCs w:val="24"/>
        </w:rPr>
        <w:t xml:space="preserve"> recopila los resultados del motor de inferencia, donde cada caso está vinculado mediante una relación de uno a uno (1:1) con el parche que lo originó y a través de una relación de muchos a muchos (N:M) con los sectores geográficos afectados. Al igual que en el dominio de contexto, cuenta con un campo de geometría PostGIS (</w:t>
      </w:r>
      <w:r>
        <w:rPr>
          <w:rFonts w:ascii="Times New Roman" w:cs="Times New Roman" w:eastAsia="Times New Roman" w:hAnsi="Times New Roman"/>
          <w:i/>
          <w:iCs/>
          <w:sz w:val="24"/>
          <w:szCs w:val="24"/>
        </w:rPr>
        <w:t xml:space="preserve">geom_afectada</w:t>
      </w:r>
      <w:r>
        <w:rPr>
          <w:rFonts w:ascii="Times New Roman" w:cs="Times New Roman" w:eastAsia="Times New Roman" w:hAnsi="Times New Roman"/>
          <w:sz w:val="24"/>
          <w:szCs w:val="24"/>
        </w:rPr>
        <w:t xml:space="preserve">, de tipo MultiPolygon) para almacenar el polígono exacto de la deforestación detectada. El modelo de ciclo de vida de esta entidad es multidimensional: el atributo </w:t>
      </w:r>
      <w:r>
        <w:rPr>
          <w:rFonts w:ascii="Times New Roman" w:cs="Times New Roman" w:eastAsia="Times New Roman" w:hAnsi="Times New Roman"/>
          <w:i/>
          <w:iCs/>
          <w:sz w:val="24"/>
          <w:szCs w:val="24"/>
        </w:rPr>
        <w:t xml:space="preserve">estado_caso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PENDIENTE_REVISION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MONITOREO_ACTIVO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VALIDADO_POSITIVO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DESCARTADO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RECUPERADO</w:t>
      </w:r>
      <w:r>
        <w:rPr>
          <w:rFonts w:ascii="Times New Roman" w:cs="Times New Roman" w:eastAsia="Times New Roman" w:hAnsi="Times New Roman"/>
          <w:sz w:val="24"/>
          <w:szCs w:val="24"/>
        </w:rPr>
        <w:t xml:space="preserve">) gestiona el flujo de auditoría humana, mientras que </w:t>
      </w:r>
      <w:r>
        <w:rPr>
          <w:rFonts w:ascii="Times New Roman" w:cs="Times New Roman" w:eastAsia="Times New Roman" w:hAnsi="Times New Roman"/>
          <w:i/>
          <w:iCs/>
          <w:sz w:val="24"/>
          <w:szCs w:val="24"/>
        </w:rPr>
        <w:t xml:space="preserve">estado_ecologico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PERTURBADO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RECUPERANDO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RECUPERADO</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ciclos_limpios_consecutivos</w:t>
      </w:r>
      <w:r>
        <w:rPr>
          <w:rFonts w:ascii="Times New Roman" w:cs="Times New Roman" w:eastAsia="Times New Roman" w:hAnsi="Times New Roman"/>
          <w:sz w:val="24"/>
          <w:szCs w:val="24"/>
        </w:rPr>
        <w:t xml:space="preserve"> materializan el seguimiento de la serie temporal ecológica de la zona afectada. El atributo </w:t>
      </w:r>
      <w:r>
        <w:rPr>
          <w:rFonts w:ascii="Times New Roman" w:cs="Times New Roman" w:eastAsia="Times New Roman" w:hAnsi="Times New Roman"/>
          <w:i/>
          <w:iCs/>
          <w:sz w:val="24"/>
          <w:szCs w:val="24"/>
        </w:rPr>
        <w:t xml:space="preserve">score_confianza</w:t>
      </w:r>
      <w:r>
        <w:rPr>
          <w:rFonts w:ascii="Times New Roman" w:cs="Times New Roman" w:eastAsia="Times New Roman" w:hAnsi="Times New Roman"/>
          <w:sz w:val="24"/>
          <w:szCs w:val="24"/>
        </w:rPr>
        <w:t xml:space="preserve">, derivado de la entropía del modelo (</w:t>
      </w:r>
      <w:r>
        <w:rPr>
          <w:rFonts w:ascii="Times New Roman" w:cs="Times New Roman" w:eastAsia="Times New Roman" w:hAnsi="Times New Roman"/>
          <w:i/>
          <w:iCs/>
          <w:sz w:val="24"/>
          <w:szCs w:val="24"/>
        </w:rPr>
        <w:t xml:space="preserve">1 − entropía_media / ln 2</w:t>
      </w:r>
      <w:r>
        <w:rPr>
          <w:rFonts w:ascii="Times New Roman" w:cs="Times New Roman" w:eastAsia="Times New Roman" w:hAnsi="Times New Roman"/>
          <w:sz w:val="24"/>
          <w:szCs w:val="24"/>
        </w:rPr>
        <w:t xml:space="preserve">), cuantifica la certeza de cada detección en un rango normalizado de 0 a 1.</w:t>
      </w:r>
    </w:p>
    <w:p>
      <w:pPr>
        <w:spacing w:after="160" w:line="276" w:lineRule="auto"/>
        <w:ind w:firstLine="720"/>
        <w:jc w:val="both"/>
      </w:pPr>
      <w:r>
        <w:rPr>
          <w:rFonts w:ascii="Times New Roman" w:cs="Times New Roman" w:eastAsia="Times New Roman" w:hAnsi="Times New Roman"/>
          <w:b/>
          <w:bCs/>
          <w:sz w:val="24"/>
          <w:szCs w:val="24"/>
        </w:rPr>
        <w:t xml:space="preserve">Dominio de Comunicaciones y Reportería. </w:t>
      </w:r>
      <w:r>
        <w:rPr>
          <w:rFonts w:ascii="Times New Roman" w:cs="Times New Roman" w:eastAsia="Times New Roman" w:hAnsi="Times New Roman"/>
          <w:sz w:val="24"/>
          <w:szCs w:val="24"/>
        </w:rPr>
        <w:t xml:space="preserve">Complementan el modelo dos entidades de trazabilidad. La entidad </w:t>
      </w:r>
      <w:r>
        <w:rPr>
          <w:rFonts w:ascii="Times New Roman" w:cs="Times New Roman" w:eastAsia="Times New Roman" w:hAnsi="Times New Roman"/>
          <w:i/>
          <w:iCs/>
          <w:sz w:val="24"/>
          <w:szCs w:val="24"/>
        </w:rPr>
        <w:t xml:space="preserve">core_registrosms</w:t>
      </w:r>
      <w:r>
        <w:rPr>
          <w:rFonts w:ascii="Times New Roman" w:cs="Times New Roman" w:eastAsia="Times New Roman" w:hAnsi="Times New Roman"/>
          <w:sz w:val="24"/>
          <w:szCs w:val="24"/>
        </w:rPr>
        <w:t xml:space="preserve"> mantiene una relación de uno a muchos (1:N) con </w:t>
      </w:r>
      <w:r>
        <w:rPr>
          <w:rFonts w:ascii="Times New Roman" w:cs="Times New Roman" w:eastAsia="Times New Roman" w:hAnsi="Times New Roman"/>
          <w:i/>
          <w:iCs/>
          <w:sz w:val="24"/>
          <w:szCs w:val="24"/>
        </w:rPr>
        <w:t xml:space="preserve">core_casoauditoria</w:t>
      </w:r>
      <w:r>
        <w:rPr>
          <w:rFonts w:ascii="Times New Roman" w:cs="Times New Roman" w:eastAsia="Times New Roman" w:hAnsi="Times New Roman"/>
          <w:sz w:val="24"/>
          <w:szCs w:val="24"/>
        </w:rPr>
        <w:t xml:space="preserve"> y registra cada notificación SMS enviada al personal de campo, incluyendo el identificador </w:t>
      </w:r>
      <w:r>
        <w:rPr>
          <w:rFonts w:ascii="Times New Roman" w:cs="Times New Roman" w:eastAsia="Times New Roman" w:hAnsi="Times New Roman"/>
          <w:i/>
          <w:iCs/>
          <w:sz w:val="24"/>
          <w:szCs w:val="24"/>
        </w:rPr>
        <w:t xml:space="preserve">sns_message_id</w:t>
      </w:r>
      <w:r>
        <w:rPr>
          <w:rFonts w:ascii="Times New Roman" w:cs="Times New Roman" w:eastAsia="Times New Roman" w:hAnsi="Times New Roman"/>
          <w:sz w:val="24"/>
          <w:szCs w:val="24"/>
        </w:rPr>
        <w:t xml:space="preserve"> retornado por AWS SNS para garantizar la trazabilidad de la comunicación. Por su parte, la entidad </w:t>
      </w:r>
      <w:r>
        <w:rPr>
          <w:rFonts w:ascii="Times New Roman" w:cs="Times New Roman" w:eastAsia="Times New Roman" w:hAnsi="Times New Roman"/>
          <w:i/>
          <w:iCs/>
          <w:sz w:val="24"/>
          <w:szCs w:val="24"/>
        </w:rPr>
        <w:t xml:space="preserve">core_documentoreporte</w:t>
      </w:r>
      <w:r>
        <w:rPr>
          <w:rFonts w:ascii="Times New Roman" w:cs="Times New Roman" w:eastAsia="Times New Roman" w:hAnsi="Times New Roman"/>
          <w:sz w:val="24"/>
          <w:szCs w:val="24"/>
        </w:rPr>
        <w:t xml:space="preserve"> registra los reportes mensuales generados automáticamente por el planificador de tareas (Celery Beat), almacenando la clave S3 del archivo CSV resultante y métricas de resumen del período, tales como cantidad de casos validados, casos recuperados y total de SMS emitidos.</w:t>
      </w:r>
    </w:p>
    <w:p>
      <w:pPr>
        <w:pStyle w:val="Heading3"/>
      </w:pPr>
      <w:r>
        <w:rPr>
          <w:rFonts w:ascii="Times New Roman" w:cs="Times New Roman" w:eastAsia="Times New Roman" w:hAnsi="Times New Roman"/>
          <w:b/>
          <w:bCs/>
          <w:sz w:val="24"/>
          <w:szCs w:val="24"/>
        </w:rPr>
        <w:t xml:space="preserve">1.1.3.2. Data Lake (Amazon S3)</w:t>
      </w:r>
    </w:p>
    <w:p>
      <w:pPr>
        <w:spacing w:after="160" w:line="276" w:lineRule="auto"/>
        <w:ind w:firstLine="720"/>
        <w:jc w:val="both"/>
      </w:pPr>
      <w:r>
        <w:rPr>
          <w:rFonts w:ascii="Times New Roman" w:cs="Times New Roman" w:eastAsia="Times New Roman" w:hAnsi="Times New Roman"/>
          <w:sz w:val="24"/>
          <w:szCs w:val="24"/>
        </w:rPr>
        <w:t xml:space="preserve">Los artefactos de mayor volumen del sistema —imágenes satelitales multibanda, tensores de inferencia, resultados del modelo y evidencias fotográficas de campo— se almacenan en Amazon S3 (Simple Storage Service), que opera como el data lake de APU Guard. La base de datos relacional no almacena el contenido binario de estos objetos, sino únicamente sus claves S3 (atributos </w:t>
      </w:r>
      <w:r>
        <w:rPr>
          <w:rFonts w:ascii="Times New Roman" w:cs="Times New Roman" w:eastAsia="Times New Roman" w:hAnsi="Times New Roman"/>
          <w:i/>
          <w:iCs/>
          <w:sz w:val="24"/>
          <w:szCs w:val="24"/>
        </w:rPr>
        <w:t xml:space="preserve">s3_path_raw</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s3_path_tensor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s3_path_resultado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evidencia_s3_key</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s3_key</w:t>
      </w:r>
      <w:r>
        <w:rPr>
          <w:rFonts w:ascii="Times New Roman" w:cs="Times New Roman" w:eastAsia="Times New Roman" w:hAnsi="Times New Roman"/>
          <w:sz w:val="24"/>
          <w:szCs w:val="24"/>
        </w:rPr>
        <w:t xml:space="preserve">), manteniendo así una separación arquitectónica clara entre metadatos operacionales y datos de gran tamaño. El bucket principal del sistema organiza su contenido mediante una jerarquía de prefijos que refleja el ciclo de vida del dato, tal como se describe a continuación.</w:t>
      </w:r>
    </w:p>
    <w:p>
      <w:pPr>
        <w:spacing w:after="160" w:line="276" w:lineRule="auto"/>
        <w:ind w:firstLine="720"/>
        <w:jc w:val="both"/>
      </w:pPr>
      <w:r>
        <w:rPr>
          <w:rFonts w:ascii="Times New Roman" w:cs="Times New Roman" w:eastAsia="Times New Roman" w:hAnsi="Times New Roman"/>
          <w:b/>
          <w:bCs/>
          <w:sz w:val="24"/>
          <w:szCs w:val="24"/>
        </w:rPr>
        <w:t xml:space="preserve">Prefijo </w:t>
      </w:r>
      <w:r>
        <w:rPr>
          <w:rFonts w:ascii="Times New Roman" w:cs="Times New Roman" w:eastAsia="Times New Roman" w:hAnsi="Times New Roman"/>
          <w:i/>
          <w:iCs/>
          <w:sz w:val="24"/>
          <w:szCs w:val="24"/>
        </w:rPr>
        <w:t xml:space="preserve">apuguard-data/capturas/. </w:t>
      </w:r>
      <w:r>
        <w:rPr>
          <w:rFonts w:ascii="Times New Roman" w:cs="Times New Roman" w:eastAsia="Times New Roman" w:hAnsi="Times New Roman"/>
          <w:sz w:val="24"/>
          <w:szCs w:val="24"/>
        </w:rPr>
        <w:t xml:space="preserve">Aloja los composites quincenales en formato GeoTIFF generados por Google Earth Engine, organizados por fecha de adquisición. Cada archivo corresponde a un composite multibanda de imágenes Sentinel-2 a resolución de 10 metros por píxel y constituye la entrada primaria del pipeline de procesamiento satelital.</w:t>
      </w:r>
    </w:p>
    <w:p>
      <w:pPr>
        <w:spacing w:after="160" w:line="276" w:lineRule="auto"/>
        <w:ind w:firstLine="720"/>
        <w:jc w:val="both"/>
      </w:pPr>
      <w:r>
        <w:rPr>
          <w:rFonts w:ascii="Times New Roman" w:cs="Times New Roman" w:eastAsia="Times New Roman" w:hAnsi="Times New Roman"/>
          <w:b/>
          <w:bCs/>
          <w:sz w:val="24"/>
          <w:szCs w:val="24"/>
        </w:rPr>
        <w:t xml:space="preserve">Prefijo </w:t>
      </w:r>
      <w:r>
        <w:rPr>
          <w:rFonts w:ascii="Times New Roman" w:cs="Times New Roman" w:eastAsia="Times New Roman" w:hAnsi="Times New Roman"/>
          <w:i/>
          <w:iCs/>
          <w:sz w:val="24"/>
          <w:szCs w:val="24"/>
        </w:rPr>
        <w:t xml:space="preserve">apuguard-data/parches/. </w:t>
      </w:r>
      <w:r>
        <w:rPr>
          <w:rFonts w:ascii="Times New Roman" w:cs="Times New Roman" w:eastAsia="Times New Roman" w:hAnsi="Times New Roman"/>
          <w:sz w:val="24"/>
          <w:szCs w:val="24"/>
        </w:rPr>
        <w:t xml:space="preserve">Contiene los tensores NumPy (</w:t>
      </w:r>
      <w:r>
        <w:rPr>
          <w:rFonts w:ascii="Times New Roman" w:cs="Times New Roman" w:eastAsia="Times New Roman" w:hAnsi="Times New Roman"/>
          <w:i/>
          <w:iCs/>
          <w:sz w:val="24"/>
          <w:szCs w:val="24"/>
        </w:rPr>
        <w:t xml:space="preserve">.npy</w:t>
      </w:r>
      <w:r>
        <w:rPr>
          <w:rFonts w:ascii="Times New Roman" w:cs="Times New Roman" w:eastAsia="Times New Roman" w:hAnsi="Times New Roman"/>
          <w:sz w:val="24"/>
          <w:szCs w:val="24"/>
        </w:rPr>
        <w:t xml:space="preserve">) de dimensiones [C, 128, 128] generados durante la fase de tiling. Cada archivo representa un recorte del composite satelital listo para ser consumido como entrada por el endpoint de AWS SageMaker.</w:t>
      </w:r>
    </w:p>
    <w:p>
      <w:pPr>
        <w:spacing w:after="160" w:line="276" w:lineRule="auto"/>
        <w:ind w:firstLine="720"/>
        <w:jc w:val="both"/>
      </w:pPr>
      <w:r>
        <w:rPr>
          <w:rFonts w:ascii="Times New Roman" w:cs="Times New Roman" w:eastAsia="Times New Roman" w:hAnsi="Times New Roman"/>
          <w:b/>
          <w:bCs/>
          <w:sz w:val="24"/>
          <w:szCs w:val="24"/>
        </w:rPr>
        <w:t xml:space="preserve">Prefijo </w:t>
      </w:r>
      <w:r>
        <w:rPr>
          <w:rFonts w:ascii="Times New Roman" w:cs="Times New Roman" w:eastAsia="Times New Roman" w:hAnsi="Times New Roman"/>
          <w:i/>
          <w:iCs/>
          <w:sz w:val="24"/>
          <w:szCs w:val="24"/>
        </w:rPr>
        <w:t xml:space="preserve">apuguard-data/resultados/. </w:t>
      </w:r>
      <w:r>
        <w:rPr>
          <w:rFonts w:ascii="Times New Roman" w:cs="Times New Roman" w:eastAsia="Times New Roman" w:hAnsi="Times New Roman"/>
          <w:sz w:val="24"/>
          <w:szCs w:val="24"/>
        </w:rPr>
        <w:t xml:space="preserve">Almacena los archivos de salida del modelo de segmentación semántica (</w:t>
      </w:r>
      <w:r>
        <w:rPr>
          <w:rFonts w:ascii="Times New Roman" w:cs="Times New Roman" w:eastAsia="Times New Roman" w:hAnsi="Times New Roman"/>
          <w:i/>
          <w:iCs/>
          <w:sz w:val="24"/>
          <w:szCs w:val="24"/>
        </w:rPr>
        <w:t xml:space="preserve">.npz</w:t>
      </w:r>
      <w:r>
        <w:rPr>
          <w:rFonts w:ascii="Times New Roman" w:cs="Times New Roman" w:eastAsia="Times New Roman" w:hAnsi="Times New Roman"/>
          <w:sz w:val="24"/>
          <w:szCs w:val="24"/>
        </w:rPr>
        <w:t xml:space="preserve">), que contienen la máscara de predicción binaria y el mapa de entropía asociado para cada parche procesado. Estos archivos son leídos por el orquestador Django para calcular el </w:t>
      </w:r>
      <w:r>
        <w:rPr>
          <w:rFonts w:ascii="Times New Roman" w:cs="Times New Roman" w:eastAsia="Times New Roman" w:hAnsi="Times New Roman"/>
          <w:i/>
          <w:iCs/>
          <w:sz w:val="24"/>
          <w:szCs w:val="24"/>
        </w:rPr>
        <w:t xml:space="preserve">score_confianza</w:t>
      </w:r>
      <w:r>
        <w:rPr>
          <w:rFonts w:ascii="Times New Roman" w:cs="Times New Roman" w:eastAsia="Times New Roman" w:hAnsi="Times New Roman"/>
          <w:sz w:val="24"/>
          <w:szCs w:val="24"/>
        </w:rPr>
        <w:t xml:space="preserve"> y determinar la geometría afectada de cada caso de auditoría.</w:t>
      </w:r>
    </w:p>
    <w:p>
      <w:pPr>
        <w:spacing w:after="160" w:line="276" w:lineRule="auto"/>
        <w:ind w:firstLine="720"/>
        <w:jc w:val="both"/>
      </w:pPr>
      <w:r>
        <w:rPr>
          <w:rFonts w:ascii="Times New Roman" w:cs="Times New Roman" w:eastAsia="Times New Roman" w:hAnsi="Times New Roman"/>
          <w:b/>
          <w:bCs/>
          <w:sz w:val="24"/>
          <w:szCs w:val="24"/>
        </w:rPr>
        <w:t xml:space="preserve">Prefijo </w:t>
      </w:r>
      <w:r>
        <w:rPr>
          <w:rFonts w:ascii="Times New Roman" w:cs="Times New Roman" w:eastAsia="Times New Roman" w:hAnsi="Times New Roman"/>
          <w:i/>
          <w:iCs/>
          <w:sz w:val="24"/>
          <w:szCs w:val="24"/>
        </w:rPr>
        <w:t xml:space="preserve">apuguard-data/evidencias/. </w:t>
      </w:r>
      <w:r>
        <w:rPr>
          <w:rFonts w:ascii="Times New Roman" w:cs="Times New Roman" w:eastAsia="Times New Roman" w:hAnsi="Times New Roman"/>
          <w:sz w:val="24"/>
          <w:szCs w:val="24"/>
        </w:rPr>
        <w:t xml:space="preserve">Aloja las fotografías de campo adjuntadas por los analistas como sustento visual de los casos auditados. La subida de estos archivos no transita por el servidor Django; en su lugar, el backend genera una URL prefirmada (presigned PUT URL) con vigencia de cinco minutos, mediante la cual el cliente web carga el archivo directamente en S3. Una vez completada la transferencia, el frontend notifica al backend con la clave S3 resultante, que queda registrada en el atributo </w:t>
      </w:r>
      <w:r>
        <w:rPr>
          <w:rFonts w:ascii="Times New Roman" w:cs="Times New Roman" w:eastAsia="Times New Roman" w:hAnsi="Times New Roman"/>
          <w:i/>
          <w:iCs/>
          <w:sz w:val="24"/>
          <w:szCs w:val="24"/>
        </w:rPr>
        <w:t xml:space="preserve">evidencia_s3_key</w:t>
      </w:r>
      <w:r>
        <w:rPr>
          <w:rFonts w:ascii="Times New Roman" w:cs="Times New Roman" w:eastAsia="Times New Roman" w:hAnsi="Times New Roman"/>
          <w:sz w:val="24"/>
          <w:szCs w:val="24"/>
        </w:rPr>
        <w:t xml:space="preserve"> del caso de auditoría correspondiente. Este mecanismo elimina la necesidad de que archivos de imagen circulen a través del servidor de aplicaciones.</w:t>
      </w:r>
    </w:p>
    <w:p>
      <w:pPr>
        <w:spacing w:after="160" w:line="276" w:lineRule="auto"/>
        <w:ind w:firstLine="720"/>
        <w:jc w:val="both"/>
      </w:pPr>
      <w:r>
        <w:rPr>
          <w:rFonts w:ascii="Times New Roman" w:cs="Times New Roman" w:eastAsia="Times New Roman" w:hAnsi="Times New Roman"/>
          <w:b/>
          <w:bCs/>
          <w:sz w:val="24"/>
          <w:szCs w:val="24"/>
        </w:rPr>
        <w:t xml:space="preserve">Prefijo </w:t>
      </w:r>
      <w:r>
        <w:rPr>
          <w:rFonts w:ascii="Times New Roman" w:cs="Times New Roman" w:eastAsia="Times New Roman" w:hAnsi="Times New Roman"/>
          <w:i/>
          <w:iCs/>
          <w:sz w:val="24"/>
          <w:szCs w:val="24"/>
        </w:rPr>
        <w:t xml:space="preserve">apuguard-data/capas-estaticas/. </w:t>
      </w:r>
      <w:r>
        <w:rPr>
          <w:rFonts w:ascii="Times New Roman" w:cs="Times New Roman" w:eastAsia="Times New Roman" w:hAnsi="Times New Roman"/>
          <w:sz w:val="24"/>
          <w:szCs w:val="24"/>
        </w:rPr>
        <w:t xml:space="preserve">Contiene las capas de referencia geoespacial de la reserva (actividad minera histórica y red hídrica en formato GeoTIFF), que son servidas al frontend para su superposición en el mapa interactivo.</w:t>
      </w:r>
    </w:p>
    <w:p>
      <w:pPr>
        <w:spacing w:after="160" w:line="276" w:lineRule="auto"/>
        <w:ind w:firstLine="720"/>
        <w:jc w:val="both"/>
      </w:pPr>
      <w:r>
        <w:rPr>
          <w:rFonts w:ascii="Times New Roman" w:cs="Times New Roman" w:eastAsia="Times New Roman" w:hAnsi="Times New Roman"/>
          <w:b/>
          <w:bCs/>
          <w:sz w:val="24"/>
          <w:szCs w:val="24"/>
        </w:rPr>
        <w:t xml:space="preserve">Prefijo </w:t>
      </w:r>
      <w:r>
        <w:rPr>
          <w:rFonts w:ascii="Times New Roman" w:cs="Times New Roman" w:eastAsia="Times New Roman" w:hAnsi="Times New Roman"/>
          <w:i/>
          <w:iCs/>
          <w:sz w:val="24"/>
          <w:szCs w:val="24"/>
        </w:rPr>
        <w:t xml:space="preserve">apuguard-reports/. </w:t>
      </w:r>
      <w:r>
        <w:rPr>
          <w:rFonts w:ascii="Times New Roman" w:cs="Times New Roman" w:eastAsia="Times New Roman" w:hAnsi="Times New Roman"/>
          <w:sz w:val="24"/>
          <w:szCs w:val="24"/>
        </w:rPr>
        <w:t xml:space="preserve">Recibe los reportes mensuales en formato CSV generados automáticamente por Celery Beat, organizados por año y mes. El orquestador registra la clave S3 del reporte generado en la entidad </w:t>
      </w:r>
      <w:r>
        <w:rPr>
          <w:rFonts w:ascii="Times New Roman" w:cs="Times New Roman" w:eastAsia="Times New Roman" w:hAnsi="Times New Roman"/>
          <w:i/>
          <w:iCs/>
          <w:sz w:val="24"/>
          <w:szCs w:val="24"/>
        </w:rPr>
        <w:t xml:space="preserve">core_documentoreporte</w:t>
      </w:r>
      <w:r>
        <w:rPr>
          <w:rFonts w:ascii="Times New Roman" w:cs="Times New Roman" w:eastAsia="Times New Roman" w:hAnsi="Times New Roman"/>
          <w:sz w:val="24"/>
          <w:szCs w:val="24"/>
        </w:rPr>
        <w:t xml:space="preserve">, desde donde puede ser descargado por los usuarios con rol Administrador.</w:t>
      </w:r>
    </w:p>
    <w:p>
      <w:pPr>
        <w:spacing w:after="160" w:line="276" w:lineRule="auto"/>
        <w:ind w:firstLine="720"/>
        <w:jc w:val="both"/>
      </w:pPr>
      <w:r>
        <w:rPr>
          <w:rFonts w:ascii="Times New Roman" w:cs="Times New Roman" w:eastAsia="Times New Roman" w:hAnsi="Times New Roman"/>
          <w:sz w:val="24"/>
          <w:szCs w:val="24"/>
        </w:rPr>
        <w:t xml:space="preserve">Los servicios de AWS que interactúan con este data lake forman el ecosistema de procesamiento asíncrono del sistema. AWS SageMaker ejecuta las solicitudes de inferencia en modo asíncrono: el pipeline deposita los tensores en el prefijo de parches y emite la solicitud referenciando su clave S3; SageMaker procesa la solicitud y deposita el resultado en el prefijo correspondiente, notificando al orquestador mediante el </w:t>
      </w:r>
      <w:r>
        <w:rPr>
          <w:rFonts w:ascii="Times New Roman" w:cs="Times New Roman" w:eastAsia="Times New Roman" w:hAnsi="Times New Roman"/>
          <w:i/>
          <w:iCs/>
          <w:sz w:val="24"/>
          <w:szCs w:val="24"/>
        </w:rPr>
        <w:t xml:space="preserve">sagemaker_request_id</w:t>
      </w:r>
      <w:r>
        <w:rPr>
          <w:rFonts w:ascii="Times New Roman" w:cs="Times New Roman" w:eastAsia="Times New Roman" w:hAnsi="Times New Roman"/>
          <w:sz w:val="24"/>
          <w:szCs w:val="24"/>
        </w:rPr>
        <w:t xml:space="preserve">. AWS SNS (Simple Notification Service) es invocado por el orquestador cuando un administrador promueve un caso al estado de </w:t>
      </w:r>
      <w:r>
        <w:rPr>
          <w:rFonts w:ascii="Times New Roman" w:cs="Times New Roman" w:eastAsia="Times New Roman" w:hAnsi="Times New Roman"/>
          <w:i/>
          <w:iCs/>
          <w:sz w:val="24"/>
          <w:szCs w:val="24"/>
        </w:rPr>
        <w:t xml:space="preserve">MONITOREO_ACTIVO</w:t>
      </w:r>
      <w:r>
        <w:rPr>
          <w:rFonts w:ascii="Times New Roman" w:cs="Times New Roman" w:eastAsia="Times New Roman" w:hAnsi="Times New Roman"/>
          <w:sz w:val="24"/>
          <w:szCs w:val="24"/>
        </w:rPr>
        <w:t xml:space="preserve">, emitiendo el SMS al número telefónico del técnico de campo asignado al sector afectado y retornando un </w:t>
      </w:r>
      <w:r>
        <w:rPr>
          <w:rFonts w:ascii="Times New Roman" w:cs="Times New Roman" w:eastAsia="Times New Roman" w:hAnsi="Times New Roman"/>
          <w:i/>
          <w:iCs/>
          <w:sz w:val="24"/>
          <w:szCs w:val="24"/>
        </w:rPr>
        <w:t xml:space="preserve">MessageId</w:t>
      </w:r>
      <w:r>
        <w:rPr>
          <w:rFonts w:ascii="Times New Roman" w:cs="Times New Roman" w:eastAsia="Times New Roman" w:hAnsi="Times New Roman"/>
          <w:sz w:val="24"/>
          <w:szCs w:val="24"/>
        </w:rPr>
        <w:t xml:space="preserve"> que queda registrado en </w:t>
      </w:r>
      <w:r>
        <w:rPr>
          <w:rFonts w:ascii="Times New Roman" w:cs="Times New Roman" w:eastAsia="Times New Roman" w:hAnsi="Times New Roman"/>
          <w:i/>
          <w:iCs/>
          <w:sz w:val="24"/>
          <w:szCs w:val="24"/>
        </w:rPr>
        <w:t xml:space="preserve">core_registrosms</w:t>
      </w:r>
      <w:r>
        <w:rPr>
          <w:rFonts w:ascii="Times New Roman" w:cs="Times New Roman" w:eastAsia="Times New Roman" w:hAnsi="Times New Roman"/>
          <w:sz w:val="24"/>
          <w:szCs w:val="24"/>
        </w:rPr>
        <w:t xml:space="preserve"> para trazabilidad. Finalmente, Celery Beat, apoyado en Redis como bróker de mensajes, ejecuta la tarea periódica de generación de reportes mensuales y la tarea quincenal de lanzamiento del pipeline de procesamiento satelital, coordinando el ciclo completo de monitoreo de forma automática y sin intervención manual.</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ind w:left="0" w:firstLine="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200"/>
      <w:ind w:left="0" w:firstLine="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2026-06-28T00:04:53.347Z</dcterms:created>
  <dcterms:modified xsi:type="dcterms:W3CDTF">2026-06-28T00:04:53.347Z</dcterms:modified>
</cp:coreProperties>
</file>

<file path=docProps/custom.xml><?xml version="1.0" encoding="utf-8"?>
<Properties xmlns="http://schemas.openxmlformats.org/officeDocument/2006/custom-properties" xmlns:vt="http://schemas.openxmlformats.org/officeDocument/2006/docPropsVTypes"/>
</file>