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Times New Roman" w:cs="Times New Roman" w:eastAsia="Times New Roman" w:hAnsi="Times New Roman"/>
          <w:b/>
          <w:bCs/>
          <w:sz w:val="24"/>
          <w:szCs w:val="24"/>
        </w:rPr>
        <w:t xml:space="preserve">1.1.3. Arquitectura de Datos</w:t>
      </w:r>
    </w:p>
    <w:p>
      <w:pPr>
        <w:spacing w:after="160" w:line="276" w:lineRule="auto"/>
        <w:ind w:firstLine="720"/>
        <w:jc w:val="both"/>
      </w:pPr>
      <w:r>
        <w:rPr>
          <w:rFonts w:ascii="Times New Roman" w:cs="Times New Roman" w:eastAsia="Times New Roman" w:hAnsi="Times New Roman"/>
          <w:sz w:val="24"/>
          <w:szCs w:val="24"/>
        </w:rPr>
        <w:t xml:space="preserve">Para manejar el flujo asíncrono y el procesamiento intensivo detallados en las arquitecturas previas, es necesario establecer una estructura sólida para la persistencia de la información del sistema. Con este propósito, la arquitectura de datos de APU Guard se organiza en dos capas complementarias: un modelo de base de datos relacional que gestiona los metadatos operacionales, los estados del sistema y las geometrías vectoriales; y un repositorio de objetos alojado en Amazon S3 que opera como data lake para los artefactos de mayor volumen, tales como imágenes satelitales, tensores de inferencia, resultados del modelo y evidencias fotográficas de campo.</w:t>
      </w:r>
    </w:p>
    <w:p>
      <w:pPr>
        <w:pStyle w:val="Heading3"/>
      </w:pPr>
      <w:r>
        <w:rPr>
          <w:rFonts w:ascii="Times New Roman" w:cs="Times New Roman" w:eastAsia="Times New Roman" w:hAnsi="Times New Roman"/>
          <w:b/>
          <w:bCs/>
          <w:sz w:val="24"/>
          <w:szCs w:val="24"/>
        </w:rPr>
        <w:t xml:space="preserve">1.1.3.1. Modelo de Base de Datos Relacional (PostgreSQL + PostGIS)</w:t>
      </w:r>
    </w:p>
    <w:p>
      <w:pPr>
        <w:spacing w:after="160" w:line="276" w:lineRule="auto"/>
        <w:ind w:firstLine="720"/>
        <w:jc w:val="both"/>
      </w:pPr>
      <w:r>
        <w:rPr>
          <w:rFonts w:ascii="Times New Roman" w:cs="Times New Roman" w:eastAsia="Times New Roman" w:hAnsi="Times New Roman"/>
          <w:sz w:val="24"/>
          <w:szCs w:val="24"/>
        </w:rPr>
        <w:t xml:space="preserve">Para la persistencia de la información estructurada, el sistema emplea PostgreSQL (v14.0) equipado con la extensión espacial PostGIS (v3.3), lo cual permite realizar consultas topológicas eficientes directamente a nivel de base de datos. El modelo entidad-relación resultante, que se presenta a continuación en la Figura 14, ha sido concebido bajo un enfoque relacional con capacidades geoespaciales nativas, garantizando la integridad de las transacciones y la optimización de las consultas necesarias para el monitoreo continuo de la Reserva Nacional de Tambopata.</w:t>
      </w:r>
    </w:p>
    <w:p>
      <w:pPr>
        <w:spacing w:after="160" w:line="276" w:lineRule="auto"/>
        <w:ind w:firstLine="0"/>
        <w:jc w:val="center"/>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Insertar aquí el Diagrama Entidad-Relación — Figura 14</w:t>
      </w:r>
      <w:r>
        <w:rPr>
          <w:rFonts w:ascii="Times New Roman" w:cs="Times New Roman" w:eastAsia="Times New Roman" w:hAnsi="Times New Roman"/>
          <w:sz w:val="24"/>
          <w:szCs w:val="24"/>
        </w:rPr>
        <w:t xml:space="preserve">]</w:t>
      </w:r>
    </w:p>
    <w:p>
      <w:pPr>
        <w:spacing w:after="160" w:line="276" w:lineRule="auto"/>
        <w:ind w:firstLine="0"/>
        <w:jc w:val="center"/>
      </w:pPr>
      <w:r>
        <w:rPr>
          <w:rFonts w:ascii="Times New Roman" w:cs="Times New Roman" w:eastAsia="Times New Roman" w:hAnsi="Times New Roman"/>
          <w:sz w:val="24"/>
          <w:szCs w:val="24"/>
        </w:rPr>
        <w:t xml:space="preserve">Figura 14</w:t>
      </w:r>
    </w:p>
    <w:p>
      <w:pPr>
        <w:spacing w:after="160" w:line="276" w:lineRule="auto"/>
        <w:ind w:firstLine="0"/>
        <w:jc w:val="center"/>
      </w:pPr>
      <w:r>
        <w:rPr>
          <w:rFonts w:ascii="Times New Roman" w:cs="Times New Roman" w:eastAsia="Times New Roman" w:hAnsi="Times New Roman"/>
          <w:i/>
          <w:iCs/>
          <w:sz w:val="24"/>
          <w:szCs w:val="24"/>
        </w:rPr>
        <w:t xml:space="preserve">Diagrama de Base de Datos de APU Guard</w:t>
      </w:r>
    </w:p>
    <w:p>
      <w:pPr>
        <w:spacing w:after="160" w:line="276" w:lineRule="auto"/>
        <w:ind w:firstLine="720"/>
        <w:jc w:val="both"/>
      </w:pPr>
      <w:r>
        <w:rPr>
          <w:rFonts w:ascii="Times New Roman" w:cs="Times New Roman" w:eastAsia="Times New Roman" w:hAnsi="Times New Roman"/>
          <w:sz w:val="24"/>
          <w:szCs w:val="24"/>
        </w:rPr>
        <w:t xml:space="preserve">De acuerdo con lo mostrado en la Figura 14, el esquema de la base de datos se estructura lógicamente en cinco dominios principales, los cuales interactúan para dar soporte integral a la aplicación.</w:t>
      </w:r>
    </w:p>
    <w:p>
      <w:pPr>
        <w:spacing w:after="160" w:line="276" w:lineRule="auto"/>
        <w:ind w:firstLine="720"/>
        <w:jc w:val="both"/>
      </w:pPr>
      <w:r>
        <w:rPr>
          <w:rFonts w:ascii="Times New Roman" w:cs="Times New Roman" w:eastAsia="Times New Roman" w:hAnsi="Times New Roman"/>
          <w:b/>
          <w:bCs/>
          <w:sz w:val="24"/>
          <w:szCs w:val="24"/>
        </w:rPr>
        <w:t xml:space="preserve">Dominio de Configuración y Parámetros Operacionales. </w:t>
      </w:r>
      <w:r>
        <w:rPr>
          <w:rFonts w:ascii="Times New Roman" w:cs="Times New Roman" w:eastAsia="Times New Roman" w:hAnsi="Times New Roman"/>
          <w:sz w:val="24"/>
          <w:szCs w:val="24"/>
        </w:rPr>
        <w:t xml:space="preserve">La entidad </w:t>
      </w:r>
      <w:r>
        <w:rPr>
          <w:rFonts w:ascii="Times New Roman" w:cs="Times New Roman" w:eastAsia="Times New Roman" w:hAnsi="Times New Roman"/>
          <w:i/>
          <w:iCs/>
          <w:sz w:val="24"/>
          <w:szCs w:val="24"/>
        </w:rPr>
        <w:t xml:space="preserve">core_configuracionglobal</w:t>
      </w:r>
      <w:r>
        <w:rPr>
          <w:rFonts w:ascii="Times New Roman" w:cs="Times New Roman" w:eastAsia="Times New Roman" w:hAnsi="Times New Roman"/>
          <w:sz w:val="24"/>
          <w:szCs w:val="24"/>
        </w:rPr>
        <w:t xml:space="preserve"> implementa un patrón de tabla singleton (un único registro con </w:t>
      </w:r>
      <w:r>
        <w:rPr>
          <w:rFonts w:ascii="Times New Roman" w:cs="Times New Roman" w:eastAsia="Times New Roman" w:hAnsi="Times New Roman"/>
          <w:i/>
          <w:iCs/>
          <w:sz w:val="24"/>
          <w:szCs w:val="24"/>
        </w:rPr>
        <w:t xml:space="preserve">id=1</w:t>
      </w:r>
      <w:r>
        <w:rPr>
          <w:rFonts w:ascii="Times New Roman" w:cs="Times New Roman" w:eastAsia="Times New Roman" w:hAnsi="Times New Roman"/>
          <w:sz w:val="24"/>
          <w:szCs w:val="24"/>
        </w:rPr>
        <w:t xml:space="preserve">), que centraliza los parámetros operacionales del sistema. Su atributo más relevante es </w:t>
      </w:r>
      <w:r>
        <w:rPr>
          <w:rFonts w:ascii="Times New Roman" w:cs="Times New Roman" w:eastAsia="Times New Roman" w:hAnsi="Times New Roman"/>
          <w:i/>
          <w:iCs/>
          <w:sz w:val="24"/>
          <w:szCs w:val="24"/>
        </w:rPr>
        <w:t xml:space="preserve">umbral_recuperacion_quincenas</w:t>
      </w:r>
      <w:r>
        <w:rPr>
          <w:rFonts w:ascii="Times New Roman" w:cs="Times New Roman" w:eastAsia="Times New Roman" w:hAnsi="Times New Roman"/>
          <w:sz w:val="24"/>
          <w:szCs w:val="24"/>
        </w:rPr>
        <w:t xml:space="preserve">, el cual define la cantidad de quincenas consecutivas sin detección de deforestación que deben transcurrir para que el sistema declare automáticamente una zona como ecológicamente recuperada. Su diseño como singleton garantiza que los parámetros sean consistentes en todo el sistema sin posibilidad de conflictos de configuración.</w:t>
      </w:r>
    </w:p>
    <w:p>
      <w:pPr>
        <w:spacing w:after="160" w:line="276" w:lineRule="auto"/>
        <w:ind w:firstLine="720"/>
        <w:jc w:val="both"/>
      </w:pPr>
      <w:r>
        <w:rPr>
          <w:rFonts w:ascii="Times New Roman" w:cs="Times New Roman" w:eastAsia="Times New Roman" w:hAnsi="Times New Roman"/>
          <w:b/>
          <w:bCs/>
          <w:sz w:val="24"/>
          <w:szCs w:val="24"/>
        </w:rPr>
        <w:t xml:space="preserve">Dominio de Seguridad y Roles de Usuario. </w:t>
      </w:r>
      <w:r>
        <w:rPr>
          <w:rFonts w:ascii="Times New Roman" w:cs="Times New Roman" w:eastAsia="Times New Roman" w:hAnsi="Times New Roman"/>
          <w:sz w:val="24"/>
          <w:szCs w:val="24"/>
        </w:rPr>
        <w:t xml:space="preserve">La gestión de accesos se apoya en la entidad nativa </w:t>
      </w:r>
      <w:r>
        <w:rPr>
          <w:rFonts w:ascii="Times New Roman" w:cs="Times New Roman" w:eastAsia="Times New Roman" w:hAnsi="Times New Roman"/>
          <w:i/>
          <w:iCs/>
          <w:sz w:val="24"/>
          <w:szCs w:val="24"/>
        </w:rPr>
        <w:t xml:space="preserve">auth_user</w:t>
      </w:r>
      <w:r>
        <w:rPr>
          <w:rFonts w:ascii="Times New Roman" w:cs="Times New Roman" w:eastAsia="Times New Roman" w:hAnsi="Times New Roman"/>
          <w:sz w:val="24"/>
          <w:szCs w:val="24"/>
        </w:rPr>
        <w:t xml:space="preserve"> de Django, cuyo atributo booleano </w:t>
      </w:r>
      <w:r>
        <w:rPr>
          <w:rFonts w:ascii="Times New Roman" w:cs="Times New Roman" w:eastAsia="Times New Roman" w:hAnsi="Times New Roman"/>
          <w:i/>
          <w:iCs/>
          <w:sz w:val="24"/>
          <w:szCs w:val="24"/>
        </w:rPr>
        <w:t xml:space="preserve">is_staff</w:t>
      </w:r>
      <w:r>
        <w:rPr>
          <w:rFonts w:ascii="Times New Roman" w:cs="Times New Roman" w:eastAsia="Times New Roman" w:hAnsi="Times New Roman"/>
          <w:sz w:val="24"/>
          <w:szCs w:val="24"/>
        </w:rPr>
        <w:t xml:space="preserve"> actúa como discriminador de roles: cuando su valor es </w:t>
      </w:r>
      <w:r>
        <w:rPr>
          <w:rFonts w:ascii="Times New Roman" w:cs="Times New Roman" w:eastAsia="Times New Roman" w:hAnsi="Times New Roman"/>
          <w:i/>
          <w:iCs/>
          <w:sz w:val="24"/>
          <w:szCs w:val="24"/>
        </w:rPr>
        <w:t xml:space="preserve">True</w:t>
      </w:r>
      <w:r>
        <w:rPr>
          <w:rFonts w:ascii="Times New Roman" w:cs="Times New Roman" w:eastAsia="Times New Roman" w:hAnsi="Times New Roman"/>
          <w:sz w:val="24"/>
          <w:szCs w:val="24"/>
        </w:rPr>
        <w:t xml:space="preserve">, el usuario posee el rol de Administrador con acceso irrestricto al sistema; cuando es </w:t>
      </w:r>
      <w:r>
        <w:rPr>
          <w:rFonts w:ascii="Times New Roman" w:cs="Times New Roman" w:eastAsia="Times New Roman" w:hAnsi="Times New Roman"/>
          <w:i/>
          <w:iCs/>
          <w:sz w:val="24"/>
          <w:szCs w:val="24"/>
        </w:rPr>
        <w:t xml:space="preserve">False</w:t>
      </w:r>
      <w:r>
        <w:rPr>
          <w:rFonts w:ascii="Times New Roman" w:cs="Times New Roman" w:eastAsia="Times New Roman" w:hAnsi="Times New Roman"/>
          <w:sz w:val="24"/>
          <w:szCs w:val="24"/>
        </w:rPr>
        <w:t xml:space="preserve">, el usuario corresponde al rol de Analista. Para este segundo rol, la entidad complementaria </w:t>
      </w:r>
      <w:r>
        <w:rPr>
          <w:rFonts w:ascii="Times New Roman" w:cs="Times New Roman" w:eastAsia="Times New Roman" w:hAnsi="Times New Roman"/>
          <w:i/>
          <w:iCs/>
          <w:sz w:val="24"/>
          <w:szCs w:val="24"/>
        </w:rPr>
        <w:t xml:space="preserve">core_perfilanalista</w:t>
      </w:r>
      <w:r>
        <w:rPr>
          <w:rFonts w:ascii="Times New Roman" w:cs="Times New Roman" w:eastAsia="Times New Roman" w:hAnsi="Times New Roman"/>
          <w:sz w:val="24"/>
          <w:szCs w:val="24"/>
        </w:rPr>
        <w:t xml:space="preserve"> extiende a </w:t>
      </w:r>
      <w:r>
        <w:rPr>
          <w:rFonts w:ascii="Times New Roman" w:cs="Times New Roman" w:eastAsia="Times New Roman" w:hAnsi="Times New Roman"/>
          <w:i/>
          <w:iCs/>
          <w:sz w:val="24"/>
          <w:szCs w:val="24"/>
        </w:rPr>
        <w:t xml:space="preserve">auth_user</w:t>
      </w:r>
      <w:r>
        <w:rPr>
          <w:rFonts w:ascii="Times New Roman" w:cs="Times New Roman" w:eastAsia="Times New Roman" w:hAnsi="Times New Roman"/>
          <w:sz w:val="24"/>
          <w:szCs w:val="24"/>
        </w:rPr>
        <w:t xml:space="preserve"> mediante una relación de uno a uno (1:1), y almacena la asignación de sectores geográficos que el analista tiene autorización para visualizar, implementada como una relación de muchos a muchos (N:M) con </w:t>
      </w:r>
      <w:r>
        <w:rPr>
          <w:rFonts w:ascii="Times New Roman" w:cs="Times New Roman" w:eastAsia="Times New Roman" w:hAnsi="Times New Roman"/>
          <w:i/>
          <w:iCs/>
          <w:sz w:val="24"/>
          <w:szCs w:val="24"/>
        </w:rPr>
        <w:t xml:space="preserve">core_sectorreserva</w:t>
      </w:r>
      <w:r>
        <w:rPr>
          <w:rFonts w:ascii="Times New Roman" w:cs="Times New Roman" w:eastAsia="Times New Roman" w:hAnsi="Times New Roman"/>
          <w:sz w:val="24"/>
          <w:szCs w:val="24"/>
        </w:rPr>
        <w:t xml:space="preserve">. Esta separación garantiza que cada analista opere únicamente sobre los datos de sus sectores asignados, sin exposición a información fuera de su jurisdicción.</w:t>
      </w:r>
    </w:p>
    <w:p>
      <w:pPr>
        <w:spacing w:after="160" w:line="276" w:lineRule="auto"/>
        <w:ind w:firstLine="720"/>
        <w:jc w:val="both"/>
      </w:pPr>
      <w:r>
        <w:rPr>
          <w:rFonts w:ascii="Times New Roman" w:cs="Times New Roman" w:eastAsia="Times New Roman" w:hAnsi="Times New Roman"/>
          <w:b/>
          <w:bCs/>
          <w:sz w:val="24"/>
          <w:szCs w:val="24"/>
        </w:rPr>
        <w:t xml:space="preserve">Dominio de Contexto Geoespacial y Personal de Campo. </w:t>
      </w:r>
      <w:r>
        <w:rPr>
          <w:rFonts w:ascii="Times New Roman" w:cs="Times New Roman" w:eastAsia="Times New Roman" w:hAnsi="Times New Roman"/>
          <w:sz w:val="24"/>
          <w:szCs w:val="24"/>
        </w:rPr>
        <w:t xml:space="preserve">Para delimitar las áreas de estudio, la entidad </w:t>
      </w:r>
      <w:r>
        <w:rPr>
          <w:rFonts w:ascii="Times New Roman" w:cs="Times New Roman" w:eastAsia="Times New Roman" w:hAnsi="Times New Roman"/>
          <w:i/>
          <w:iCs/>
          <w:sz w:val="24"/>
          <w:szCs w:val="24"/>
        </w:rPr>
        <w:t xml:space="preserve">core_sectorreserva</w:t>
      </w:r>
      <w:r>
        <w:rPr>
          <w:rFonts w:ascii="Times New Roman" w:cs="Times New Roman" w:eastAsia="Times New Roman" w:hAnsi="Times New Roman"/>
          <w:sz w:val="24"/>
          <w:szCs w:val="24"/>
        </w:rPr>
        <w:t xml:space="preserve"> almacena los cinco sectores geográficos de la Reserva Nacional de Tambopata como polígonos con sistema de referencia espacial SRID 4326, haciendo uso de la extensión PostGIS para procesar coordenadas reales en mapas bidimensionales. Vinculada a esta entidad mediante una relación de muchos a muchos (N:M), la entidad </w:t>
      </w:r>
      <w:r>
        <w:rPr>
          <w:rFonts w:ascii="Times New Roman" w:cs="Times New Roman" w:eastAsia="Times New Roman" w:hAnsi="Times New Roman"/>
          <w:i/>
          <w:iCs/>
          <w:sz w:val="24"/>
          <w:szCs w:val="24"/>
        </w:rPr>
        <w:t xml:space="preserve">core_tecnicocampo</w:t>
      </w:r>
      <w:r>
        <w:rPr>
          <w:rFonts w:ascii="Times New Roman" w:cs="Times New Roman" w:eastAsia="Times New Roman" w:hAnsi="Times New Roman"/>
          <w:sz w:val="24"/>
          <w:szCs w:val="24"/>
        </w:rPr>
        <w:t xml:space="preserve"> registra al personal responsable de la verificación física en campo. Es importante destacar que esta entidad no representa un usuario de acceso a la aplicación web; su función es exclusivamente almacenar el número telefónico en formato E.164 y los datos de contacto del técnico, información que el sistema utiliza para la emisión automática de notificaciones SMS ante una detección confirmada.</w:t>
      </w:r>
    </w:p>
    <w:p>
      <w:pPr>
        <w:spacing w:after="160" w:line="276" w:lineRule="auto"/>
        <w:ind w:firstLine="720"/>
        <w:jc w:val="both"/>
      </w:pPr>
      <w:r>
        <w:rPr>
          <w:rFonts w:ascii="Times New Roman" w:cs="Times New Roman" w:eastAsia="Times New Roman" w:hAnsi="Times New Roman"/>
          <w:b/>
          <w:bCs/>
          <w:sz w:val="24"/>
          <w:szCs w:val="24"/>
        </w:rPr>
        <w:t xml:space="preserve">Dominio de Procesamiento Satelital. </w:t>
      </w:r>
      <w:r>
        <w:rPr>
          <w:rFonts w:ascii="Times New Roman" w:cs="Times New Roman" w:eastAsia="Times New Roman" w:hAnsi="Times New Roman"/>
          <w:sz w:val="24"/>
          <w:szCs w:val="24"/>
        </w:rPr>
        <w:t xml:space="preserve">Este módulo actúa como el nexo entre el data lake en la nube y el motor de inteligencia artificial. Las entidades </w:t>
      </w:r>
      <w:r>
        <w:rPr>
          <w:rFonts w:ascii="Times New Roman" w:cs="Times New Roman" w:eastAsia="Times New Roman" w:hAnsi="Times New Roman"/>
          <w:i/>
          <w:iCs/>
          <w:sz w:val="24"/>
          <w:szCs w:val="24"/>
        </w:rPr>
        <w:t xml:space="preserve">core_capturasatelital</w:t>
      </w:r>
      <w:r>
        <w:rPr>
          <w:rFonts w:ascii="Times New Roman" w:cs="Times New Roman" w:eastAsia="Times New Roman" w:hAnsi="Times New Roman"/>
          <w:sz w:val="24"/>
          <w:szCs w:val="24"/>
        </w:rPr>
        <w:t xml:space="preserve"> (composite quincenal de imágenes Sentinel-2 descargado desde Google Earth Engine) y </w:t>
      </w:r>
      <w:r>
        <w:rPr>
          <w:rFonts w:ascii="Times New Roman" w:cs="Times New Roman" w:eastAsia="Times New Roman" w:hAnsi="Times New Roman"/>
          <w:i/>
          <w:iCs/>
          <w:sz w:val="24"/>
          <w:szCs w:val="24"/>
        </w:rPr>
        <w:t xml:space="preserve">core_parcheprocesamiento</w:t>
      </w:r>
      <w:r>
        <w:rPr>
          <w:rFonts w:ascii="Times New Roman" w:cs="Times New Roman" w:eastAsia="Times New Roman" w:hAnsi="Times New Roman"/>
          <w:sz w:val="24"/>
          <w:szCs w:val="24"/>
        </w:rPr>
        <w:t xml:space="preserve"> (recortes de 128×128 píxeles con stride de 64 píxeles) mantienen una relación jerárquica de uno a muchos (1:N). Como decisión de diseño fundamental, ninguna de estas tablas almacena archivos binarios; en su lugar, conservan las claves S3 de los objetos correspondientes (atributos </w:t>
      </w:r>
      <w:r>
        <w:rPr>
          <w:rFonts w:ascii="Times New Roman" w:cs="Times New Roman" w:eastAsia="Times New Roman" w:hAnsi="Times New Roman"/>
          <w:i/>
          <w:iCs/>
          <w:sz w:val="24"/>
          <w:szCs w:val="24"/>
        </w:rPr>
        <w:t xml:space="preserve">s3_path_raw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s3_path_tensor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s3_path_resultado</w:t>
      </w:r>
      <w:r>
        <w:rPr>
          <w:rFonts w:ascii="Times New Roman" w:cs="Times New Roman" w:eastAsia="Times New Roman" w:hAnsi="Times New Roman"/>
          <w:sz w:val="24"/>
          <w:szCs w:val="24"/>
        </w:rPr>
        <w:t xml:space="preserve">). La entidad </w:t>
      </w:r>
      <w:r>
        <w:rPr>
          <w:rFonts w:ascii="Times New Roman" w:cs="Times New Roman" w:eastAsia="Times New Roman" w:hAnsi="Times New Roman"/>
          <w:i/>
          <w:iCs/>
          <w:sz w:val="24"/>
          <w:szCs w:val="24"/>
        </w:rPr>
        <w:t xml:space="preserve">core_parcheprocesamiento</w:t>
      </w:r>
      <w:r>
        <w:rPr>
          <w:rFonts w:ascii="Times New Roman" w:cs="Times New Roman" w:eastAsia="Times New Roman" w:hAnsi="Times New Roman"/>
          <w:sz w:val="24"/>
          <w:szCs w:val="24"/>
        </w:rPr>
        <w:t xml:space="preserve"> incorpora adicionalmente el atributo </w:t>
      </w:r>
      <w:r>
        <w:rPr>
          <w:rFonts w:ascii="Times New Roman" w:cs="Times New Roman" w:eastAsia="Times New Roman" w:hAnsi="Times New Roman"/>
          <w:i/>
          <w:iCs/>
          <w:sz w:val="24"/>
          <w:szCs w:val="24"/>
        </w:rPr>
        <w:t xml:space="preserve">sagemaker_request_id</w:t>
      </w:r>
      <w:r>
        <w:rPr>
          <w:rFonts w:ascii="Times New Roman" w:cs="Times New Roman" w:eastAsia="Times New Roman" w:hAnsi="Times New Roman"/>
          <w:sz w:val="24"/>
          <w:szCs w:val="24"/>
        </w:rPr>
        <w:t xml:space="preserve"> para el seguimiento de las solicitudes de inferencia asíncrona, y un campo de geometría PostGIS que registra el footprint georreferenciado del parche en coordenadas WGS84.</w:t>
      </w:r>
    </w:p>
    <w:p>
      <w:pPr>
        <w:spacing w:after="160" w:line="276" w:lineRule="auto"/>
        <w:ind w:firstLine="720"/>
        <w:jc w:val="both"/>
      </w:pPr>
      <w:r>
        <w:rPr>
          <w:rFonts w:ascii="Times New Roman" w:cs="Times New Roman" w:eastAsia="Times New Roman" w:hAnsi="Times New Roman"/>
          <w:b/>
          <w:bCs/>
          <w:sz w:val="24"/>
          <w:szCs w:val="24"/>
        </w:rPr>
        <w:t xml:space="preserve">Dominio de Inteligencia Artificial y Alertas. </w:t>
      </w:r>
      <w:r>
        <w:rPr>
          <w:rFonts w:ascii="Times New Roman" w:cs="Times New Roman" w:eastAsia="Times New Roman" w:hAnsi="Times New Roman"/>
          <w:sz w:val="24"/>
          <w:szCs w:val="24"/>
        </w:rPr>
        <w:t xml:space="preserve">Representa el núcleo del valor de negocio de APU Guard. La entidad </w:t>
      </w:r>
      <w:r>
        <w:rPr>
          <w:rFonts w:ascii="Times New Roman" w:cs="Times New Roman" w:eastAsia="Times New Roman" w:hAnsi="Times New Roman"/>
          <w:i/>
          <w:iCs/>
          <w:sz w:val="24"/>
          <w:szCs w:val="24"/>
        </w:rPr>
        <w:t xml:space="preserve">core_casoauditoria</w:t>
      </w:r>
      <w:r>
        <w:rPr>
          <w:rFonts w:ascii="Times New Roman" w:cs="Times New Roman" w:eastAsia="Times New Roman" w:hAnsi="Times New Roman"/>
          <w:sz w:val="24"/>
          <w:szCs w:val="24"/>
        </w:rPr>
        <w:t xml:space="preserve"> recopila los resultados del motor de inferencia, donde cada caso está vinculado mediante una relación de uno a uno (1:1) con el parche que lo originó y a través de una relación de muchos a muchos (N:M) con los sectores geográficos afectados. Cuenta con un campo de geometría PostGIS (</w:t>
      </w:r>
      <w:r>
        <w:rPr>
          <w:rFonts w:ascii="Times New Roman" w:cs="Times New Roman" w:eastAsia="Times New Roman" w:hAnsi="Times New Roman"/>
          <w:i/>
          <w:iCs/>
          <w:sz w:val="24"/>
          <w:szCs w:val="24"/>
        </w:rPr>
        <w:t xml:space="preserve">geom_afectada</w:t>
      </w:r>
      <w:r>
        <w:rPr>
          <w:rFonts w:ascii="Times New Roman" w:cs="Times New Roman" w:eastAsia="Times New Roman" w:hAnsi="Times New Roman"/>
          <w:sz w:val="24"/>
          <w:szCs w:val="24"/>
        </w:rPr>
        <w:t xml:space="preserve">, de tipo MultiPolygon) para almacenar el polígono exacto de la zona detectada. El modelo de ciclo de vida de esta entidad es multidimensional: el atributo </w:t>
      </w:r>
      <w:r>
        <w:rPr>
          <w:rFonts w:ascii="Times New Roman" w:cs="Times New Roman" w:eastAsia="Times New Roman" w:hAnsi="Times New Roman"/>
          <w:i/>
          <w:iCs/>
          <w:sz w:val="24"/>
          <w:szCs w:val="24"/>
        </w:rPr>
        <w:t xml:space="preserve">estado_caso</w:t>
      </w:r>
      <w:r>
        <w:rPr>
          <w:rFonts w:ascii="Times New Roman" w:cs="Times New Roman" w:eastAsia="Times New Roman" w:hAnsi="Times New Roman"/>
          <w:sz w:val="24"/>
          <w:szCs w:val="24"/>
        </w:rPr>
        <w:t xml:space="preserve"> gestiona el flujo de auditoría humana (</w:t>
      </w:r>
      <w:r>
        <w:rPr>
          <w:rFonts w:ascii="Times New Roman" w:cs="Times New Roman" w:eastAsia="Times New Roman" w:hAnsi="Times New Roman"/>
          <w:i/>
          <w:iCs/>
          <w:sz w:val="24"/>
          <w:szCs w:val="24"/>
        </w:rPr>
        <w:t xml:space="preserve">PENDIENTE_REVISION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MONITOREO_ACTIVO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VALIDADO_POSITIVO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DESCARTADO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RECUPERADO</w:t>
      </w:r>
      <w:r>
        <w:rPr>
          <w:rFonts w:ascii="Times New Roman" w:cs="Times New Roman" w:eastAsia="Times New Roman" w:hAnsi="Times New Roman"/>
          <w:sz w:val="24"/>
          <w:szCs w:val="24"/>
        </w:rPr>
        <w:t xml:space="preserve">), mientras que </w:t>
      </w:r>
      <w:r>
        <w:rPr>
          <w:rFonts w:ascii="Times New Roman" w:cs="Times New Roman" w:eastAsia="Times New Roman" w:hAnsi="Times New Roman"/>
          <w:i/>
          <w:iCs/>
          <w:sz w:val="24"/>
          <w:szCs w:val="24"/>
        </w:rPr>
        <w:t xml:space="preserve">estado_ecologico</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ciclos_limpios_consecutivos</w:t>
      </w:r>
      <w:r>
        <w:rPr>
          <w:rFonts w:ascii="Times New Roman" w:cs="Times New Roman" w:eastAsia="Times New Roman" w:hAnsi="Times New Roman"/>
          <w:sz w:val="24"/>
          <w:szCs w:val="24"/>
        </w:rPr>
        <w:t xml:space="preserve"> materializan el seguimiento de la serie temporal ecológica de la zona. El atributo </w:t>
      </w:r>
      <w:r>
        <w:rPr>
          <w:rFonts w:ascii="Times New Roman" w:cs="Times New Roman" w:eastAsia="Times New Roman" w:hAnsi="Times New Roman"/>
          <w:i/>
          <w:iCs/>
          <w:sz w:val="24"/>
          <w:szCs w:val="24"/>
        </w:rPr>
        <w:t xml:space="preserve">score_confianza</w:t>
      </w:r>
      <w:r>
        <w:rPr>
          <w:rFonts w:ascii="Times New Roman" w:cs="Times New Roman" w:eastAsia="Times New Roman" w:hAnsi="Times New Roman"/>
          <w:sz w:val="24"/>
          <w:szCs w:val="24"/>
        </w:rPr>
        <w:t xml:space="preserve">, derivado de la entropía del modelo (</w:t>
      </w:r>
      <w:r>
        <w:rPr>
          <w:rFonts w:ascii="Times New Roman" w:cs="Times New Roman" w:eastAsia="Times New Roman" w:hAnsi="Times New Roman"/>
          <w:i/>
          <w:iCs/>
          <w:sz w:val="24"/>
          <w:szCs w:val="24"/>
        </w:rPr>
        <w:t xml:space="preserve">1 − entropía_media / ln 2</w:t>
      </w:r>
      <w:r>
        <w:rPr>
          <w:rFonts w:ascii="Times New Roman" w:cs="Times New Roman" w:eastAsia="Times New Roman" w:hAnsi="Times New Roman"/>
          <w:sz w:val="24"/>
          <w:szCs w:val="24"/>
        </w:rPr>
        <w:t xml:space="preserve">), cuantifica la certeza de cada detección en un rango normalizado de 0 a 1.</w:t>
      </w:r>
    </w:p>
    <w:p>
      <w:pPr>
        <w:spacing w:after="160" w:line="276" w:lineRule="auto"/>
        <w:ind w:firstLine="720"/>
        <w:jc w:val="both"/>
      </w:pPr>
      <w:r>
        <w:rPr>
          <w:rFonts w:ascii="Times New Roman" w:cs="Times New Roman" w:eastAsia="Times New Roman" w:hAnsi="Times New Roman"/>
          <w:b/>
          <w:bCs/>
          <w:sz w:val="24"/>
          <w:szCs w:val="24"/>
        </w:rPr>
        <w:t xml:space="preserve">Dominio de Comunicaciones y Reportería. </w:t>
      </w:r>
      <w:r>
        <w:rPr>
          <w:rFonts w:ascii="Times New Roman" w:cs="Times New Roman" w:eastAsia="Times New Roman" w:hAnsi="Times New Roman"/>
          <w:sz w:val="24"/>
          <w:szCs w:val="24"/>
        </w:rPr>
        <w:t xml:space="preserve">Complementan el modelo dos entidades de trazabilidad. La entidad </w:t>
      </w:r>
      <w:r>
        <w:rPr>
          <w:rFonts w:ascii="Times New Roman" w:cs="Times New Roman" w:eastAsia="Times New Roman" w:hAnsi="Times New Roman"/>
          <w:i/>
          <w:iCs/>
          <w:sz w:val="24"/>
          <w:szCs w:val="24"/>
        </w:rPr>
        <w:t xml:space="preserve">core_registrosms</w:t>
      </w:r>
      <w:r>
        <w:rPr>
          <w:rFonts w:ascii="Times New Roman" w:cs="Times New Roman" w:eastAsia="Times New Roman" w:hAnsi="Times New Roman"/>
          <w:sz w:val="24"/>
          <w:szCs w:val="24"/>
        </w:rPr>
        <w:t xml:space="preserve"> mantiene una relación de uno a muchos (1:N) con </w:t>
      </w:r>
      <w:r>
        <w:rPr>
          <w:rFonts w:ascii="Times New Roman" w:cs="Times New Roman" w:eastAsia="Times New Roman" w:hAnsi="Times New Roman"/>
          <w:i/>
          <w:iCs/>
          <w:sz w:val="24"/>
          <w:szCs w:val="24"/>
        </w:rPr>
        <w:t xml:space="preserve">core_casoauditoria</w:t>
      </w:r>
      <w:r>
        <w:rPr>
          <w:rFonts w:ascii="Times New Roman" w:cs="Times New Roman" w:eastAsia="Times New Roman" w:hAnsi="Times New Roman"/>
          <w:sz w:val="24"/>
          <w:szCs w:val="24"/>
        </w:rPr>
        <w:t xml:space="preserve"> y registra cada notificación SMS enviada al personal de campo, incluyendo el identificador devuelto por el servicio de mensajería para garantizar la trazabilidad de la comunicación. Por su parte, la entidad </w:t>
      </w:r>
      <w:r>
        <w:rPr>
          <w:rFonts w:ascii="Times New Roman" w:cs="Times New Roman" w:eastAsia="Times New Roman" w:hAnsi="Times New Roman"/>
          <w:i/>
          <w:iCs/>
          <w:sz w:val="24"/>
          <w:szCs w:val="24"/>
        </w:rPr>
        <w:t xml:space="preserve">core_documentoreporte</w:t>
      </w:r>
      <w:r>
        <w:rPr>
          <w:rFonts w:ascii="Times New Roman" w:cs="Times New Roman" w:eastAsia="Times New Roman" w:hAnsi="Times New Roman"/>
          <w:sz w:val="24"/>
          <w:szCs w:val="24"/>
        </w:rPr>
        <w:t xml:space="preserve"> registra los reportes mensuales generados automáticamente por el planificador de tareas (Celery Beat), almacenando la clave S3 del archivo CSV resultante y métricas de resumen del período, tales como cantidad de casos validados, casos recuperados y total de mensajes enviados.</w:t>
      </w:r>
    </w:p>
    <w:p>
      <w:pPr>
        <w:pStyle w:val="Heading3"/>
      </w:pPr>
      <w:r>
        <w:rPr>
          <w:rFonts w:ascii="Times New Roman" w:cs="Times New Roman" w:eastAsia="Times New Roman" w:hAnsi="Times New Roman"/>
          <w:b/>
          <w:bCs/>
          <w:sz w:val="24"/>
          <w:szCs w:val="24"/>
        </w:rPr>
        <w:t xml:space="preserve">1.1.3.2. Data Lake (Amazon S3)</w:t>
      </w:r>
    </w:p>
    <w:p>
      <w:pPr>
        <w:spacing w:after="160" w:line="276" w:lineRule="auto"/>
        <w:ind w:firstLine="720"/>
        <w:jc w:val="both"/>
      </w:pPr>
      <w:r>
        <w:rPr>
          <w:rFonts w:ascii="Times New Roman" w:cs="Times New Roman" w:eastAsia="Times New Roman" w:hAnsi="Times New Roman"/>
          <w:sz w:val="24"/>
          <w:szCs w:val="24"/>
        </w:rPr>
        <w:t xml:space="preserve">Los artefactos de mayor volumen del sistema se almacenan en un bucket de Amazon S3 denominado </w:t>
      </w:r>
      <w:r>
        <w:rPr>
          <w:rFonts w:ascii="Times New Roman" w:cs="Times New Roman" w:eastAsia="Times New Roman" w:hAnsi="Times New Roman"/>
          <w:i/>
          <w:iCs/>
          <w:sz w:val="24"/>
          <w:szCs w:val="24"/>
        </w:rPr>
        <w:t xml:space="preserve">apuguard-datalake-prod</w:t>
      </w:r>
      <w:r>
        <w:rPr>
          <w:rFonts w:ascii="Times New Roman" w:cs="Times New Roman" w:eastAsia="Times New Roman" w:hAnsi="Times New Roman"/>
          <w:sz w:val="24"/>
          <w:szCs w:val="24"/>
        </w:rPr>
        <w:t xml:space="preserve">. La base de datos relacional no almacena el contenido binario de estos objetos, sino únicamente sus claves S3, manteniendo así una separación arquitectónica clara entre metadatos operacionales y datos de gran tamaño. El bucket organiza su contenido en seis carpetas y un archivo raíz, cada uno con una responsabilidad específica dentro del ciclo de vida del dato, tal como se detalla a continuación.</w:t>
      </w:r>
    </w:p>
    <w:p>
      <w:pPr>
        <w:spacing w:after="160" w:line="276" w:lineRule="auto"/>
        <w:ind w:firstLine="720"/>
        <w:jc w:val="both"/>
      </w:pPr>
      <w:r>
        <w:rPr>
          <w:rFonts w:ascii="Times New Roman" w:cs="Times New Roman" w:eastAsia="Times New Roman" w:hAnsi="Times New Roman"/>
          <w:b/>
          <w:bCs/>
          <w:i/>
          <w:iCs/>
          <w:sz w:val="24"/>
          <w:szCs w:val="24"/>
        </w:rPr>
        <w:t xml:space="preserve">model.tar.gz</w:t>
      </w:r>
      <w:r>
        <w:rPr>
          <w:rFonts w:ascii="Times New Roman" w:cs="Times New Roman" w:eastAsia="Times New Roman" w:hAnsi="Times New Roman"/>
          <w:sz w:val="24"/>
          <w:szCs w:val="24"/>
        </w:rPr>
        <w:t xml:space="preserve"> (raíz del bucket). </w:t>
      </w:r>
      <w:r>
        <w:rPr>
          <w:rFonts w:ascii="Times New Roman" w:cs="Times New Roman" w:eastAsia="Times New Roman" w:hAnsi="Times New Roman"/>
          <w:sz w:val="24"/>
          <w:szCs w:val="24"/>
        </w:rPr>
        <w:t xml:space="preserve">Archivo comprimido que contiene los pesos del modelo HRNet-W48 entrenado, en el formato esperado por AWS SageMaker para su despliegue como endpoint de inferencia. Este archivo es estático y solo se actualiza cuando se reentrenan los pesos del modelo.</w:t>
      </w:r>
    </w:p>
    <w:p>
      <w:pPr>
        <w:spacing w:after="160" w:line="276" w:lineRule="auto"/>
        <w:ind w:firstLine="720"/>
        <w:jc w:val="both"/>
      </w:pPr>
      <w:r>
        <w:rPr>
          <w:rFonts w:ascii="Times New Roman" w:cs="Times New Roman" w:eastAsia="Times New Roman" w:hAnsi="Times New Roman"/>
          <w:b/>
          <w:bCs/>
          <w:i/>
          <w:iCs/>
          <w:sz w:val="24"/>
          <w:szCs w:val="24"/>
        </w:rPr>
        <w:t xml:space="preserve">raw-rasters/</w:t>
      </w:r>
      <w:r>
        <w:rPr>
          <w:rFonts w:ascii="Times New Roman" w:cs="Times New Roman" w:eastAsia="Times New Roman" w:hAnsi="Times New Roman"/>
          <w:sz w:val="24"/>
          <w:szCs w:val="24"/>
        </w:rPr>
        <w:t xml:space="preserve"> Recibe los composites quincenales de imágenes Sentinel-2 descargados desde Google Earth Engine. Cada archivo, nombrado con el patrón </w:t>
      </w:r>
      <w:r>
        <w:rPr>
          <w:rFonts w:ascii="Times New Roman" w:cs="Times New Roman" w:eastAsia="Times New Roman" w:hAnsi="Times New Roman"/>
          <w:i/>
          <w:iCs/>
          <w:sz w:val="24"/>
          <w:szCs w:val="24"/>
        </w:rPr>
        <w:t xml:space="preserve">sentinel2_{fecha_inicio}_{fecha_fin}_10m.tif</w:t>
      </w:r>
      <w:r>
        <w:rPr>
          <w:rFonts w:ascii="Times New Roman" w:cs="Times New Roman" w:eastAsia="Times New Roman" w:hAnsi="Times New Roman"/>
          <w:sz w:val="24"/>
          <w:szCs w:val="24"/>
        </w:rPr>
        <w:t xml:space="preserve">, es un mosaico GeoTIFF multibanda de cuatro canales espectrales (B2, B3, B4, B8) a resolución de 10 metros por píxel, generado a partir de la unión de múltiples tiles de 0.08 grados para cubrir el área de interés completa. Su clave S3 queda registrada en el atributo </w:t>
      </w:r>
      <w:r>
        <w:rPr>
          <w:rFonts w:ascii="Times New Roman" w:cs="Times New Roman" w:eastAsia="Times New Roman" w:hAnsi="Times New Roman"/>
          <w:i/>
          <w:iCs/>
          <w:sz w:val="24"/>
          <w:szCs w:val="24"/>
        </w:rPr>
        <w:t xml:space="preserve">s3_path_raw</w:t>
      </w:r>
      <w:r>
        <w:rPr>
          <w:rFonts w:ascii="Times New Roman" w:cs="Times New Roman" w:eastAsia="Times New Roman" w:hAnsi="Times New Roman"/>
          <w:sz w:val="24"/>
          <w:szCs w:val="24"/>
        </w:rPr>
        <w:t xml:space="preserve"> de la entidad </w:t>
      </w:r>
      <w:r>
        <w:rPr>
          <w:rFonts w:ascii="Times New Roman" w:cs="Times New Roman" w:eastAsia="Times New Roman" w:hAnsi="Times New Roman"/>
          <w:i/>
          <w:iCs/>
          <w:sz w:val="24"/>
          <w:szCs w:val="24"/>
        </w:rPr>
        <w:t xml:space="preserve">core_capturasatelital</w:t>
      </w:r>
      <w:r>
        <w:rPr>
          <w:rFonts w:ascii="Times New Roman" w:cs="Times New Roman" w:eastAsia="Times New Roman" w:hAnsi="Times New Roman"/>
          <w:sz w:val="24"/>
          <w:szCs w:val="24"/>
        </w:rPr>
        <w:t xml:space="preserve">.</w:t>
      </w:r>
    </w:p>
    <w:p>
      <w:pPr>
        <w:spacing w:after="160" w:line="276" w:lineRule="auto"/>
        <w:ind w:firstLine="720"/>
        <w:jc w:val="both"/>
      </w:pPr>
      <w:r>
        <w:rPr>
          <w:rFonts w:ascii="Times New Roman" w:cs="Times New Roman" w:eastAsia="Times New Roman" w:hAnsi="Times New Roman"/>
          <w:b/>
          <w:bCs/>
          <w:i/>
          <w:iCs/>
          <w:sz w:val="24"/>
          <w:szCs w:val="24"/>
        </w:rPr>
        <w:t xml:space="preserve">sagemaker-inputs/</w:t>
      </w:r>
      <w:r>
        <w:rPr>
          <w:rFonts w:ascii="Times New Roman" w:cs="Times New Roman" w:eastAsia="Times New Roman" w:hAnsi="Times New Roman"/>
          <w:sz w:val="24"/>
          <w:szCs w:val="24"/>
        </w:rPr>
        <w:t xml:space="preserve"> Contiene los tensores NumPy en formato </w:t>
      </w:r>
      <w:r>
        <w:rPr>
          <w:rFonts w:ascii="Times New Roman" w:cs="Times New Roman" w:eastAsia="Times New Roman" w:hAnsi="Times New Roman"/>
          <w:i/>
          <w:iCs/>
          <w:sz w:val="24"/>
          <w:szCs w:val="24"/>
        </w:rPr>
        <w:t xml:space="preserve">.npy</w:t>
      </w:r>
      <w:r>
        <w:rPr>
          <w:rFonts w:ascii="Times New Roman" w:cs="Times New Roman" w:eastAsia="Times New Roman" w:hAnsi="Times New Roman"/>
          <w:sz w:val="24"/>
          <w:szCs w:val="24"/>
        </w:rPr>
        <w:t xml:space="preserve"> enviados a AWS SageMaker como entrada de inferencia. Cada archivo, organizado bajo el subprefijo </w:t>
      </w:r>
      <w:r>
        <w:rPr>
          <w:rFonts w:ascii="Times New Roman" w:cs="Times New Roman" w:eastAsia="Times New Roman" w:hAnsi="Times New Roman"/>
          <w:i/>
          <w:iCs/>
          <w:sz w:val="24"/>
          <w:szCs w:val="24"/>
        </w:rPr>
        <w:t xml:space="preserve">captura_{id}/parche_{fila}_{col}.npy</w:t>
      </w:r>
      <w:r>
        <w:rPr>
          <w:rFonts w:ascii="Times New Roman" w:cs="Times New Roman" w:eastAsia="Times New Roman" w:hAnsi="Times New Roman"/>
          <w:sz w:val="24"/>
          <w:szCs w:val="24"/>
        </w:rPr>
        <w:t xml:space="preserve">, representa un recorte de 128×128 píxeles con 9 canales: las cuatro bandas espectrales normalizadas, los índices NDWI y SAVI, la distancia a la deforestación histórica activa, y las distancias a las capas de actividad minera y red hídrica. Su clave S3 queda registrada en el atributo </w:t>
      </w:r>
      <w:r>
        <w:rPr>
          <w:rFonts w:ascii="Times New Roman" w:cs="Times New Roman" w:eastAsia="Times New Roman" w:hAnsi="Times New Roman"/>
          <w:i/>
          <w:iCs/>
          <w:sz w:val="24"/>
          <w:szCs w:val="24"/>
        </w:rPr>
        <w:t xml:space="preserve">s3_path_tensor</w:t>
      </w:r>
      <w:r>
        <w:rPr>
          <w:rFonts w:ascii="Times New Roman" w:cs="Times New Roman" w:eastAsia="Times New Roman" w:hAnsi="Times New Roman"/>
          <w:sz w:val="24"/>
          <w:szCs w:val="24"/>
        </w:rPr>
        <w:t xml:space="preserve"> de la entidad </w:t>
      </w:r>
      <w:r>
        <w:rPr>
          <w:rFonts w:ascii="Times New Roman" w:cs="Times New Roman" w:eastAsia="Times New Roman" w:hAnsi="Times New Roman"/>
          <w:i/>
          <w:iCs/>
          <w:sz w:val="24"/>
          <w:szCs w:val="24"/>
        </w:rPr>
        <w:t xml:space="preserve">core_parcheprocesamiento</w:t>
      </w:r>
      <w:r>
        <w:rPr>
          <w:rFonts w:ascii="Times New Roman" w:cs="Times New Roman" w:eastAsia="Times New Roman" w:hAnsi="Times New Roman"/>
          <w:sz w:val="24"/>
          <w:szCs w:val="24"/>
        </w:rPr>
        <w:t xml:space="preserve">.</w:t>
      </w:r>
    </w:p>
    <w:p>
      <w:pPr>
        <w:spacing w:after="160" w:line="276" w:lineRule="auto"/>
        <w:ind w:firstLine="720"/>
        <w:jc w:val="both"/>
      </w:pPr>
      <w:r>
        <w:rPr>
          <w:rFonts w:ascii="Times New Roman" w:cs="Times New Roman" w:eastAsia="Times New Roman" w:hAnsi="Times New Roman"/>
          <w:b/>
          <w:bCs/>
          <w:i/>
          <w:iCs/>
          <w:sz w:val="24"/>
          <w:szCs w:val="24"/>
        </w:rPr>
        <w:t xml:space="preserve">sagemaker-outputs/</w:t>
      </w:r>
      <w:r>
        <w:rPr>
          <w:rFonts w:ascii="Times New Roman" w:cs="Times New Roman" w:eastAsia="Times New Roman" w:hAnsi="Times New Roman"/>
          <w:sz w:val="24"/>
          <w:szCs w:val="24"/>
        </w:rPr>
        <w:t xml:space="preserve"> Directorio donde AWS SageMaker deposita automáticamente los resultados de la inferencia asíncrona, configurado mediante el </w:t>
      </w:r>
      <w:r>
        <w:rPr>
          <w:rFonts w:ascii="Times New Roman" w:cs="Times New Roman" w:eastAsia="Times New Roman" w:hAnsi="Times New Roman"/>
          <w:i/>
          <w:iCs/>
          <w:sz w:val="24"/>
          <w:szCs w:val="24"/>
        </w:rPr>
        <w:t xml:space="preserve">AsyncInferenceConfig</w:t>
      </w:r>
      <w:r>
        <w:rPr>
          <w:rFonts w:ascii="Times New Roman" w:cs="Times New Roman" w:eastAsia="Times New Roman" w:hAnsi="Times New Roman"/>
          <w:sz w:val="24"/>
          <w:szCs w:val="24"/>
        </w:rPr>
        <w:t xml:space="preserve"> del endpoint. Cada archivo de salida en formato </w:t>
      </w:r>
      <w:r>
        <w:rPr>
          <w:rFonts w:ascii="Times New Roman" w:cs="Times New Roman" w:eastAsia="Times New Roman" w:hAnsi="Times New Roman"/>
          <w:i/>
          <w:iCs/>
          <w:sz w:val="24"/>
          <w:szCs w:val="24"/>
        </w:rPr>
        <w:t xml:space="preserve">.npz</w:t>
      </w:r>
      <w:r>
        <w:rPr>
          <w:rFonts w:ascii="Times New Roman" w:cs="Times New Roman" w:eastAsia="Times New Roman" w:hAnsi="Times New Roman"/>
          <w:sz w:val="24"/>
          <w:szCs w:val="24"/>
        </w:rPr>
        <w:t xml:space="preserve"> contiene tres matrices de 128×128: la máscara binaria de deforestación (</w:t>
      </w:r>
      <w:r>
        <w:rPr>
          <w:rFonts w:ascii="Times New Roman" w:cs="Times New Roman" w:eastAsia="Times New Roman" w:hAnsi="Times New Roman"/>
          <w:i/>
          <w:iCs/>
          <w:sz w:val="24"/>
          <w:szCs w:val="24"/>
        </w:rPr>
        <w:t xml:space="preserve">mask</w:t>
      </w:r>
      <w:r>
        <w:rPr>
          <w:rFonts w:ascii="Times New Roman" w:cs="Times New Roman" w:eastAsia="Times New Roman" w:hAnsi="Times New Roman"/>
          <w:sz w:val="24"/>
          <w:szCs w:val="24"/>
        </w:rPr>
        <w:t xml:space="preserve">), la probabilidad por píxel (</w:t>
      </w:r>
      <w:r>
        <w:rPr>
          <w:rFonts w:ascii="Times New Roman" w:cs="Times New Roman" w:eastAsia="Times New Roman" w:hAnsi="Times New Roman"/>
          <w:i/>
          <w:iCs/>
          <w:sz w:val="24"/>
          <w:szCs w:val="24"/>
        </w:rPr>
        <w:t xml:space="preserve">probability</w:t>
      </w:r>
      <w:r>
        <w:rPr>
          <w:rFonts w:ascii="Times New Roman" w:cs="Times New Roman" w:eastAsia="Times New Roman" w:hAnsi="Times New Roman"/>
          <w:sz w:val="24"/>
          <w:szCs w:val="24"/>
        </w:rPr>
        <w:t xml:space="preserve">) y el mapa de entropía (</w:t>
      </w:r>
      <w:r>
        <w:rPr>
          <w:rFonts w:ascii="Times New Roman" w:cs="Times New Roman" w:eastAsia="Times New Roman" w:hAnsi="Times New Roman"/>
          <w:i/>
          <w:iCs/>
          <w:sz w:val="24"/>
          <w:szCs w:val="24"/>
        </w:rPr>
        <w:t xml:space="preserve">entropy</w:t>
      </w:r>
      <w:r>
        <w:rPr>
          <w:rFonts w:ascii="Times New Roman" w:cs="Times New Roman" w:eastAsia="Times New Roman" w:hAnsi="Times New Roman"/>
          <w:sz w:val="24"/>
          <w:szCs w:val="24"/>
        </w:rPr>
        <w:t xml:space="preserve">). A partir de estas matrices, el orquestador calcula el </w:t>
      </w:r>
      <w:r>
        <w:rPr>
          <w:rFonts w:ascii="Times New Roman" w:cs="Times New Roman" w:eastAsia="Times New Roman" w:hAnsi="Times New Roman"/>
          <w:i/>
          <w:iCs/>
          <w:sz w:val="24"/>
          <w:szCs w:val="24"/>
        </w:rPr>
        <w:t xml:space="preserve">score_confianza</w:t>
      </w:r>
      <w:r>
        <w:rPr>
          <w:rFonts w:ascii="Times New Roman" w:cs="Times New Roman" w:eastAsia="Times New Roman" w:hAnsi="Times New Roman"/>
          <w:sz w:val="24"/>
          <w:szCs w:val="24"/>
        </w:rPr>
        <w:t xml:space="preserve"> y vectoriza la zona afectada. Su ubicación queda registrada en el atributo </w:t>
      </w:r>
      <w:r>
        <w:rPr>
          <w:rFonts w:ascii="Times New Roman" w:cs="Times New Roman" w:eastAsia="Times New Roman" w:hAnsi="Times New Roman"/>
          <w:i/>
          <w:iCs/>
          <w:sz w:val="24"/>
          <w:szCs w:val="24"/>
        </w:rPr>
        <w:t xml:space="preserve">s3_path_resultado</w:t>
      </w:r>
      <w:r>
        <w:rPr>
          <w:rFonts w:ascii="Times New Roman" w:cs="Times New Roman" w:eastAsia="Times New Roman" w:hAnsi="Times New Roman"/>
          <w:sz w:val="24"/>
          <w:szCs w:val="24"/>
        </w:rPr>
        <w:t xml:space="preserve"> de la entidad </w:t>
      </w:r>
      <w:r>
        <w:rPr>
          <w:rFonts w:ascii="Times New Roman" w:cs="Times New Roman" w:eastAsia="Times New Roman" w:hAnsi="Times New Roman"/>
          <w:i/>
          <w:iCs/>
          <w:sz w:val="24"/>
          <w:szCs w:val="24"/>
        </w:rPr>
        <w:t xml:space="preserve">core_parcheprocesamiento</w:t>
      </w:r>
      <w:r>
        <w:rPr>
          <w:rFonts w:ascii="Times New Roman" w:cs="Times New Roman" w:eastAsia="Times New Roman" w:hAnsi="Times New Roman"/>
          <w:sz w:val="24"/>
          <w:szCs w:val="24"/>
        </w:rPr>
        <w:t xml:space="preserve">.</w:t>
      </w:r>
    </w:p>
    <w:p>
      <w:pPr>
        <w:spacing w:after="160" w:line="276" w:lineRule="auto"/>
        <w:ind w:firstLine="720"/>
        <w:jc w:val="both"/>
      </w:pPr>
      <w:r>
        <w:rPr>
          <w:rFonts w:ascii="Times New Roman" w:cs="Times New Roman" w:eastAsia="Times New Roman" w:hAnsi="Times New Roman"/>
          <w:b/>
          <w:bCs/>
          <w:i/>
          <w:iCs/>
          <w:sz w:val="24"/>
          <w:szCs w:val="24"/>
        </w:rPr>
        <w:t xml:space="preserve">sagemaker-visualizations/</w:t>
      </w:r>
      <w:r>
        <w:rPr>
          <w:rFonts w:ascii="Times New Roman" w:cs="Times New Roman" w:eastAsia="Times New Roman" w:hAnsi="Times New Roman"/>
          <w:sz w:val="24"/>
          <w:szCs w:val="24"/>
        </w:rPr>
        <w:t xml:space="preserve"> Almacena las imágenes de visualización en formato PNG generadas automáticamente por una función AWS Lambda tras cada inferencia completada. Por cada parche procesado se generan dos archivos: una composición RGB del recorte satelital y la máscara de predicción superpuesta. Estas imágenes son accedidas desde el frontend mediante URLs prefirmadas (</w:t>
      </w:r>
      <w:r>
        <w:rPr>
          <w:rFonts w:ascii="Times New Roman" w:cs="Times New Roman" w:eastAsia="Times New Roman" w:hAnsi="Times New Roman"/>
          <w:i/>
          <w:iCs/>
          <w:sz w:val="24"/>
          <w:szCs w:val="24"/>
        </w:rPr>
        <w:t xml:space="preserve">presigned GET URLs</w:t>
      </w:r>
      <w:r>
        <w:rPr>
          <w:rFonts w:ascii="Times New Roman" w:cs="Times New Roman" w:eastAsia="Times New Roman" w:hAnsi="Times New Roman"/>
          <w:sz w:val="24"/>
          <w:szCs w:val="24"/>
        </w:rPr>
        <w:t xml:space="preserve">) con vigencia limitada, y se eliminan automáticamente del bucket tras 30 días mediante una tarea periódica de limpieza (Celery Beat).</w:t>
      </w:r>
    </w:p>
    <w:p>
      <w:pPr>
        <w:spacing w:after="160" w:line="276" w:lineRule="auto"/>
        <w:ind w:firstLine="720"/>
        <w:jc w:val="both"/>
      </w:pPr>
      <w:r>
        <w:rPr>
          <w:rFonts w:ascii="Times New Roman" w:cs="Times New Roman" w:eastAsia="Times New Roman" w:hAnsi="Times New Roman"/>
          <w:b/>
          <w:bCs/>
          <w:i/>
          <w:iCs/>
          <w:sz w:val="24"/>
          <w:szCs w:val="24"/>
        </w:rPr>
        <w:t xml:space="preserve">static-layers/</w:t>
      </w:r>
      <w:r>
        <w:rPr>
          <w:rFonts w:ascii="Times New Roman" w:cs="Times New Roman" w:eastAsia="Times New Roman" w:hAnsi="Times New Roman"/>
          <w:sz w:val="24"/>
          <w:szCs w:val="24"/>
        </w:rPr>
        <w:t xml:space="preserve"> Contiene las capas de referencia geoespacial de la reserva: </w:t>
      </w:r>
      <w:r>
        <w:rPr>
          <w:rFonts w:ascii="Times New Roman" w:cs="Times New Roman" w:eastAsia="Times New Roman" w:hAnsi="Times New Roman"/>
          <w:i/>
          <w:iCs/>
          <w:sz w:val="24"/>
          <w:szCs w:val="24"/>
        </w:rPr>
        <w:t xml:space="preserve">mineria.tif</w:t>
      </w:r>
      <w:r>
        <w:rPr>
          <w:rFonts w:ascii="Times New Roman" w:cs="Times New Roman" w:eastAsia="Times New Roman" w:hAnsi="Times New Roman"/>
          <w:sz w:val="24"/>
          <w:szCs w:val="24"/>
        </w:rPr>
        <w:t xml:space="preserve">, que registra la actividad minera histórica en la zona, y </w:t>
      </w:r>
      <w:r>
        <w:rPr>
          <w:rFonts w:ascii="Times New Roman" w:cs="Times New Roman" w:eastAsia="Times New Roman" w:hAnsi="Times New Roman"/>
          <w:i/>
          <w:iCs/>
          <w:sz w:val="24"/>
          <w:szCs w:val="24"/>
        </w:rPr>
        <w:t xml:space="preserve">rios.tif</w:t>
      </w:r>
      <w:r>
        <w:rPr>
          <w:rFonts w:ascii="Times New Roman" w:cs="Times New Roman" w:eastAsia="Times New Roman" w:hAnsi="Times New Roman"/>
          <w:sz w:val="24"/>
          <w:szCs w:val="24"/>
        </w:rPr>
        <w:t xml:space="preserve">, que representa la red hídrica. Estas capas son estáticas (no cambian entre quincenas) y son leídas en cada ejecución del pipeline para calcular los canales de distancia 7 y 8 del tensor de entrada al modelo.</w:t>
      </w:r>
    </w:p>
    <w:p>
      <w:pPr>
        <w:spacing w:after="160" w:line="276" w:lineRule="auto"/>
        <w:ind w:firstLine="720"/>
        <w:jc w:val="both"/>
      </w:pPr>
      <w:r>
        <w:rPr>
          <w:rFonts w:ascii="Times New Roman" w:cs="Times New Roman" w:eastAsia="Times New Roman" w:hAnsi="Times New Roman"/>
          <w:b/>
          <w:bCs/>
          <w:i/>
          <w:iCs/>
          <w:sz w:val="24"/>
          <w:szCs w:val="24"/>
        </w:rPr>
        <w:t xml:space="preserve">evidencias/</w:t>
      </w:r>
      <w:r>
        <w:rPr>
          <w:rFonts w:ascii="Times New Roman" w:cs="Times New Roman" w:eastAsia="Times New Roman" w:hAnsi="Times New Roman"/>
          <w:sz w:val="24"/>
          <w:szCs w:val="24"/>
        </w:rPr>
        <w:t xml:space="preserve"> Almacena las fotografías de campo adjuntadas por los analistas como sustento visual de los casos auditados, bajo el patrón </w:t>
      </w:r>
      <w:r>
        <w:rPr>
          <w:rFonts w:ascii="Times New Roman" w:cs="Times New Roman" w:eastAsia="Times New Roman" w:hAnsi="Times New Roman"/>
          <w:i/>
          <w:iCs/>
          <w:sz w:val="24"/>
          <w:szCs w:val="24"/>
        </w:rPr>
        <w:t xml:space="preserve">evidencias/caso_{id}_{nombre_archivo}</w:t>
      </w:r>
      <w:r>
        <w:rPr>
          <w:rFonts w:ascii="Times New Roman" w:cs="Times New Roman" w:eastAsia="Times New Roman" w:hAnsi="Times New Roman"/>
          <w:sz w:val="24"/>
          <w:szCs w:val="24"/>
        </w:rPr>
        <w:t xml:space="preserve">. La subida de estos archivos no transita por el servidor Django: el backend genera una URL prefirmada (</w:t>
      </w:r>
      <w:r>
        <w:rPr>
          <w:rFonts w:ascii="Times New Roman" w:cs="Times New Roman" w:eastAsia="Times New Roman" w:hAnsi="Times New Roman"/>
          <w:i/>
          <w:iCs/>
          <w:sz w:val="24"/>
          <w:szCs w:val="24"/>
        </w:rPr>
        <w:t xml:space="preserve">presigned PUT URL</w:t>
      </w:r>
      <w:r>
        <w:rPr>
          <w:rFonts w:ascii="Times New Roman" w:cs="Times New Roman" w:eastAsia="Times New Roman" w:hAnsi="Times New Roman"/>
          <w:sz w:val="24"/>
          <w:szCs w:val="24"/>
        </w:rPr>
        <w:t xml:space="preserve">) con vigencia de 15 minutos, mediante la cual el cliente web carga el archivo directamente en S3 desde el navegador. Una vez completada la transferencia, el frontend notifica al backend con la clave S3 resultante, que queda registrada en el atributo </w:t>
      </w:r>
      <w:r>
        <w:rPr>
          <w:rFonts w:ascii="Times New Roman" w:cs="Times New Roman" w:eastAsia="Times New Roman" w:hAnsi="Times New Roman"/>
          <w:i/>
          <w:iCs/>
          <w:sz w:val="24"/>
          <w:szCs w:val="24"/>
        </w:rPr>
        <w:t xml:space="preserve">evidencia_s3_key</w:t>
      </w:r>
      <w:r>
        <w:rPr>
          <w:rFonts w:ascii="Times New Roman" w:cs="Times New Roman" w:eastAsia="Times New Roman" w:hAnsi="Times New Roman"/>
          <w:sz w:val="24"/>
          <w:szCs w:val="24"/>
        </w:rPr>
        <w:t xml:space="preserve"> del caso de auditoría correspondiente.</w:t>
      </w:r>
    </w:p>
    <w:p>
      <w:pPr>
        <w:spacing w:after="160" w:line="276" w:lineRule="auto"/>
        <w:ind w:firstLine="720"/>
        <w:jc w:val="both"/>
      </w:pPr>
      <w:r>
        <w:rPr>
          <w:rFonts w:ascii="Times New Roman" w:cs="Times New Roman" w:eastAsia="Times New Roman" w:hAnsi="Times New Roman"/>
          <w:sz w:val="24"/>
          <w:szCs w:val="24"/>
        </w:rPr>
        <w:t xml:space="preserve">Complementariamente, los reportes mensuales generados por Celery Beat se depositan bajo la clave </w:t>
      </w:r>
      <w:r>
        <w:rPr>
          <w:rFonts w:ascii="Times New Roman" w:cs="Times New Roman" w:eastAsia="Times New Roman" w:hAnsi="Times New Roman"/>
          <w:i/>
          <w:iCs/>
          <w:sz w:val="24"/>
          <w:szCs w:val="24"/>
        </w:rPr>
        <w:t xml:space="preserve">apuguard-reports/{año}/{mes}/reporte_mensual.csv</w:t>
      </w:r>
      <w:r>
        <w:rPr>
          <w:rFonts w:ascii="Times New Roman" w:cs="Times New Roman" w:eastAsia="Times New Roman" w:hAnsi="Times New Roman"/>
          <w:sz w:val="24"/>
          <w:szCs w:val="24"/>
        </w:rPr>
        <w:t xml:space="preserve"> en el mismo bucket, con su ruta registrada en la entidad </w:t>
      </w:r>
      <w:r>
        <w:rPr>
          <w:rFonts w:ascii="Times New Roman" w:cs="Times New Roman" w:eastAsia="Times New Roman" w:hAnsi="Times New Roman"/>
          <w:i/>
          <w:iCs/>
          <w:sz w:val="24"/>
          <w:szCs w:val="24"/>
        </w:rPr>
        <w:t xml:space="preserve">core_documentoreporte</w:t>
      </w:r>
      <w:r>
        <w:rPr>
          <w:rFonts w:ascii="Times New Roman" w:cs="Times New Roman" w:eastAsia="Times New Roman" w:hAnsi="Times New Roman"/>
          <w:sz w:val="24"/>
          <w:szCs w:val="24"/>
        </w:rPr>
        <w:t xml:space="preserve"> para que los usuarios con rol Administrador puedan descargarlo desde la aplicación web mediante una URL prefirmada generada en el momento de la solicitud.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ind w:left="0" w:firstLine="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ind w:left="0" w:firstLine="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2026-06-28T01:34:49.691Z</dcterms:created>
  <dcterms:modified xsi:type="dcterms:W3CDTF">2026-06-28T01:34:49.691Z</dcterms:modified>
</cp:coreProperties>
</file>

<file path=docProps/custom.xml><?xml version="1.0" encoding="utf-8"?>
<Properties xmlns="http://schemas.openxmlformats.org/officeDocument/2006/custom-properties" xmlns:vt="http://schemas.openxmlformats.org/officeDocument/2006/docPropsVTypes"/>
</file>