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0B3B2E"/>
          <w:sz w:val="46"/>
        </w:rPr>
        <w:t>Registro de escopo, entregáveis e condições pendentes de formalização</w:t>
      </w:r>
    </w:p>
    <w:p>
      <w:pPr>
        <w:spacing w:after="240"/>
      </w:pPr>
      <w:r>
        <w:rPr>
          <w:rFonts w:ascii="Calibri" w:hAnsi="Calibri" w:eastAsia="Calibri"/>
          <w:i/>
          <w:color w:val="5A5A5A"/>
          <w:sz w:val="24"/>
        </w:rPr>
        <w:t>Projeto Solver Accommodations — fase inicial do website</w:t>
      </w:r>
    </w:p>
    <w:tbl>
      <w:tblPr>
        <w:tblW w:type="dxa" w:w="9200"/>
        <w:jc w:val="left"/>
        <w:tblLook w:firstColumn="1" w:firstRow="1" w:lastColumn="0" w:lastRow="0" w:noHBand="0" w:noVBand="1" w:val="04A0"/>
        <w:tblLayout w:type="fixed"/>
      </w:tblPr>
      <w:tblGrid>
        <w:gridCol w:w="4939"/>
        <w:gridCol w:w="4939"/>
      </w:tblGrid>
      <w:tr>
        <w:tc>
          <w:tcPr>
            <w:tcW w:type="dxa" w:w="4939"/>
            <w:vAlign w:val="center"/>
            <w:tcBorders>
              <w:top w:val="single" w:sz="4" w:space="0" w:color="DADCE0"/>
              <w:left w:val="single" w:sz="4" w:space="0" w:color="DADCE0"/>
              <w:bottom w:val="single" w:sz="4" w:space="0" w:color="DADCE0"/>
              <w:right w:val="single" w:sz="4" w:space="0" w:color="DADCE0"/>
            </w:tcBorders>
            <w:shd w:fill="EEF5EF"/>
          </w:tcPr>
          <w:p>
            <w:pPr>
              <w:spacing w:after="40"/>
            </w:pPr>
            <w:r>
              <w:rPr>
                <w:b/>
                <w:color w:val="0B3B2E"/>
                <w:sz w:val="19"/>
              </w:rPr>
              <w:t>Data de corte</w:t>
            </w:r>
          </w:p>
        </w:tc>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pPr>
            <w:r>
              <w:rPr>
                <w:sz w:val="19"/>
              </w:rPr>
              <w:t>18 de julho de 2026</w:t>
            </w:r>
          </w:p>
        </w:tc>
      </w:tr>
      <w:tr>
        <w:tc>
          <w:tcPr>
            <w:tcW w:type="dxa" w:w="4939"/>
            <w:vAlign w:val="center"/>
            <w:tcBorders>
              <w:top w:val="single" w:sz="4" w:space="0" w:color="DADCE0"/>
              <w:left w:val="single" w:sz="4" w:space="0" w:color="DADCE0"/>
              <w:bottom w:val="single" w:sz="4" w:space="0" w:color="DADCE0"/>
              <w:right w:val="single" w:sz="4" w:space="0" w:color="DADCE0"/>
            </w:tcBorders>
            <w:shd w:fill="EEF5EF"/>
          </w:tcPr>
          <w:p>
            <w:pPr>
              <w:spacing w:after="40"/>
            </w:pPr>
            <w:r>
              <w:rPr>
                <w:b/>
                <w:color w:val="0B3B2E"/>
                <w:sz w:val="19"/>
              </w:rPr>
              <w:t>Contratante indicado</w:t>
            </w:r>
          </w:p>
        </w:tc>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pPr>
            <w:r>
              <w:rPr>
                <w:sz w:val="19"/>
              </w:rPr>
              <w:t>Kelvin [sobrenome/empresa a confirmar]</w:t>
            </w:r>
          </w:p>
        </w:tc>
      </w:tr>
      <w:tr>
        <w:tc>
          <w:tcPr>
            <w:tcW w:type="dxa" w:w="4939"/>
            <w:vAlign w:val="center"/>
            <w:tcBorders>
              <w:top w:val="single" w:sz="4" w:space="0" w:color="DADCE0"/>
              <w:left w:val="single" w:sz="4" w:space="0" w:color="DADCE0"/>
              <w:bottom w:val="single" w:sz="4" w:space="0" w:color="DADCE0"/>
              <w:right w:val="single" w:sz="4" w:space="0" w:color="DADCE0"/>
            </w:tcBorders>
            <w:shd w:fill="EEF5EF"/>
          </w:tcPr>
          <w:p>
            <w:pPr>
              <w:spacing w:after="40"/>
            </w:pPr>
            <w:r>
              <w:rPr>
                <w:b/>
                <w:color w:val="0B3B2E"/>
                <w:sz w:val="19"/>
              </w:rPr>
              <w:t>Cliente final / marca</w:t>
            </w:r>
          </w:p>
        </w:tc>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pPr>
            <w:r>
              <w:rPr>
                <w:sz w:val="19"/>
              </w:rPr>
              <w:t>Solver Accommodation K&amp;D Limited / Solver Accommodations</w:t>
            </w:r>
          </w:p>
        </w:tc>
      </w:tr>
      <w:tr>
        <w:tc>
          <w:tcPr>
            <w:tcW w:type="dxa" w:w="4939"/>
            <w:vAlign w:val="center"/>
            <w:tcBorders>
              <w:top w:val="single" w:sz="4" w:space="0" w:color="DADCE0"/>
              <w:left w:val="single" w:sz="4" w:space="0" w:color="DADCE0"/>
              <w:bottom w:val="single" w:sz="4" w:space="0" w:color="DADCE0"/>
              <w:right w:val="single" w:sz="4" w:space="0" w:color="DADCE0"/>
            </w:tcBorders>
            <w:shd w:fill="EEF5EF"/>
          </w:tcPr>
          <w:p>
            <w:pPr>
              <w:spacing w:after="40"/>
            </w:pPr>
            <w:r>
              <w:rPr>
                <w:b/>
                <w:color w:val="0B3B2E"/>
                <w:sz w:val="19"/>
              </w:rPr>
              <w:t>Prestador</w:t>
            </w:r>
          </w:p>
        </w:tc>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pPr>
            <w:r>
              <w:rPr>
                <w:sz w:val="19"/>
              </w:rPr>
              <w:t>Eduardo Volken / VOLYNX [dados formais a completar]</w:t>
            </w:r>
          </w:p>
        </w:tc>
      </w:tr>
      <w:tr>
        <w:tc>
          <w:tcPr>
            <w:tcW w:type="dxa" w:w="4939"/>
            <w:vAlign w:val="center"/>
            <w:tcBorders>
              <w:top w:val="single" w:sz="4" w:space="0" w:color="DADCE0"/>
              <w:left w:val="single" w:sz="4" w:space="0" w:color="DADCE0"/>
              <w:bottom w:val="single" w:sz="4" w:space="0" w:color="DADCE0"/>
              <w:right w:val="single" w:sz="4" w:space="0" w:color="DADCE0"/>
            </w:tcBorders>
            <w:shd w:fill="EEF5EF"/>
          </w:tcPr>
          <w:p>
            <w:pPr>
              <w:spacing w:after="40"/>
            </w:pPr>
            <w:r>
              <w:rPr>
                <w:b/>
                <w:color w:val="0B3B2E"/>
                <w:sz w:val="19"/>
              </w:rPr>
              <w:t>Domínio de referência</w:t>
            </w:r>
          </w:p>
        </w:tc>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pPr>
            <w:r>
              <w:rPr>
                <w:sz w:val="19"/>
              </w:rPr>
              <w:t>solveraccommodations.com</w:t>
            </w:r>
          </w:p>
        </w:tc>
      </w:tr>
      <w:tr>
        <w:tc>
          <w:tcPr>
            <w:tcW w:type="dxa" w:w="4939"/>
            <w:vAlign w:val="center"/>
            <w:tcBorders>
              <w:top w:val="single" w:sz="4" w:space="0" w:color="DADCE0"/>
              <w:left w:val="single" w:sz="4" w:space="0" w:color="DADCE0"/>
              <w:bottom w:val="single" w:sz="4" w:space="0" w:color="DADCE0"/>
              <w:right w:val="single" w:sz="4" w:space="0" w:color="DADCE0"/>
            </w:tcBorders>
            <w:shd w:fill="EEF5EF"/>
          </w:tcPr>
          <w:p>
            <w:pPr>
              <w:spacing w:after="40"/>
            </w:pPr>
            <w:r>
              <w:rPr>
                <w:b/>
                <w:color w:val="0B3B2E"/>
                <w:sz w:val="19"/>
              </w:rPr>
              <w:t>Status contratual</w:t>
            </w:r>
          </w:p>
        </w:tc>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pPr>
            <w:r>
              <w:rPr>
                <w:sz w:val="19"/>
              </w:rPr>
              <w:t>Contrato solicitado/enviado para assinatura, ainda não devolvido assinado até esta data, conforme registro interno do prestador.</w:t>
            </w:r>
          </w:p>
        </w:tc>
      </w:tr>
    </w:tbl>
    <w:p/>
    <w:p>
      <w:pPr>
        <w:pStyle w:val="Heading1"/>
      </w:pPr>
      <w:r>
        <w:rPr>
          <w:rFonts w:ascii="Calibri" w:hAnsi="Calibri" w:eastAsia="Calibri"/>
        </w:rPr>
        <w:t>1. Finalidade deste registro</w:t>
      </w:r>
    </w:p>
    <w:p>
      <w:pPr>
        <w:spacing w:after="120"/>
      </w:pPr>
      <w:r>
        <w:rPr>
          <w:rFonts w:ascii="Calibri" w:hAnsi="Calibri" w:eastAsia="Calibri"/>
        </w:rPr>
        <w:t>Este documento consolida, de forma preventiva e factual, o escopo de trabalho já desenvolvido para o projeto Solver Accommodations, os itens oferecidos como parte de um pacote com desconto comercial, as dependências pendentes do contratante/cliente e os limites razoáveis do que está incluído sem novo orçamento.</w:t>
      </w:r>
    </w:p>
    <w:p>
      <w:pPr>
        <w:spacing w:after="120"/>
      </w:pPr>
      <w:r>
        <w:rPr>
          <w:rFonts w:ascii="Calibri" w:hAnsi="Calibri" w:eastAsia="Calibri"/>
        </w:rPr>
        <w:t>O objetivo é preservar clareza entre as partes enquanto o contrato formal ainda não foi devolvido assinado. Este registro não substitui contrato, proposta comercial assinada ou aconselhamento jurídico. Deve ser tratado como material de apoio e evidência operacional do escopo construído de boa-fé até a data de corte indicada.</w:t>
      </w:r>
    </w:p>
    <w:p>
      <w:pPr>
        <w:pStyle w:val="Heading1"/>
      </w:pPr>
      <w:r>
        <w:rPr>
          <w:rFonts w:ascii="Calibri" w:hAnsi="Calibri" w:eastAsia="Calibri"/>
        </w:rPr>
        <w:t>2. Situação contratual e premissa de boa-fé</w:t>
      </w:r>
    </w:p>
    <w:p>
      <w:pPr>
        <w:spacing w:after="120"/>
      </w:pPr>
      <w:r>
        <w:rPr>
          <w:rFonts w:ascii="Calibri" w:hAnsi="Calibri" w:eastAsia="Calibri"/>
        </w:rPr>
        <w:t>Até 18 de julho de 2026, o prestador informa não ter recebido o contrato assinado pelo contratante indicado. Ainda assim, parte relevante da base técnica, visual e estratégica do website foi construída antecipadamente para preservar prazo, qualidade e continuidade do projeto.</w:t>
      </w:r>
    </w:p>
    <w:p>
      <w:pPr>
        <w:spacing w:after="120"/>
      </w:pPr>
      <w:r>
        <w:rPr>
          <w:rFonts w:ascii="Calibri" w:hAnsi="Calibri" w:eastAsia="Calibri"/>
        </w:rPr>
        <w:t>A continuidade do trabalho, a liberação de produção definitiva, o uso comercial amplo dos assets e qualquer expansão relevante de escopo devem depender da regularização contratual, confirmação de valores, confirmação de responsabilidades e aceite explícito das entregas já realizadas.</w:t>
      </w:r>
    </w:p>
    <w:p>
      <w:pPr>
        <w:pStyle w:val="Heading1"/>
      </w:pPr>
      <w:r>
        <w:rPr>
          <w:rFonts w:ascii="Calibri" w:hAnsi="Calibri" w:eastAsia="Calibri"/>
        </w:rPr>
        <w:t>3. O que já foi construído ou preparado</w:t>
      </w:r>
    </w:p>
    <w:p>
      <w:pPr>
        <w:spacing w:after="120"/>
      </w:pPr>
      <w:r>
        <w:rPr>
          <w:rFonts w:ascii="Calibri" w:hAnsi="Calibri" w:eastAsia="Calibri"/>
        </w:rPr>
        <w:t>Base técnica do website em React/Next-compatible Vinext, com TypeScript, estrutura App Router, CSS global responsivo e preparação para deploy em ambiente Cloudflare/OpenAI Sites.</w:t>
      </w:r>
    </w:p>
    <w:p>
      <w:pPr>
        <w:spacing w:after="120"/>
      </w:pPr>
      <w:r>
        <w:rPr>
          <w:rFonts w:ascii="Calibri" w:hAnsi="Calibri" w:eastAsia="Calibri"/>
        </w:rPr>
        <w:t>Landing page premium e responsiva para Solver Accommodations, incluindo hero, trust strip, seção de assinatura visual, sobre a marca, perfis de público, experiência da estadia, preview de acomodação, próximos passos de booking, canais de contato, localização, rodapé e links legais.</w:t>
      </w:r>
    </w:p>
    <w:p>
      <w:pPr>
        <w:spacing w:after="120"/>
      </w:pPr>
      <w:r>
        <w:rPr>
          <w:rFonts w:ascii="Calibri" w:hAnsi="Calibri" w:eastAsia="Calibri"/>
        </w:rPr>
        <w:t>Sistema visual customizado com paleta verde/dourado/creme, tipografia editorial, profundidade visual, spotlights, cards, microinterações, responsividade e uso integrado de assets 3D personalizados.</w:t>
      </w:r>
    </w:p>
    <w:p>
      <w:pPr>
        <w:spacing w:after="120"/>
      </w:pPr>
      <w:r>
        <w:rPr>
          <w:rFonts w:ascii="Calibri" w:hAnsi="Calibri" w:eastAsia="Calibri"/>
        </w:rPr>
        <w:t>Topbar, navegação mobile, botão de menu, CTAs de WhatsApp, estrutura de navegação por âncoras e fluxo de contato direto.</w:t>
      </w:r>
    </w:p>
    <w:p>
      <w:pPr>
        <w:spacing w:after="120"/>
      </w:pPr>
      <w:r>
        <w:rPr>
          <w:rFonts w:ascii="Calibri" w:hAnsi="Calibri" w:eastAsia="Calibri"/>
        </w:rPr>
        <w:t>Configuração centralizada de dados públicos em app/config/solver.ts para domínio, WhatsApp, e-mail, Airbnb, Booking.com, metadata, feature flags, localização e navegação.</w:t>
      </w:r>
    </w:p>
    <w:p>
      <w:pPr>
        <w:spacing w:after="120"/>
      </w:pPr>
      <w:r>
        <w:rPr>
          <w:rFonts w:ascii="Calibri" w:hAnsi="Calibri" w:eastAsia="Calibri"/>
        </w:rPr>
        <w:t>Preparação de integrações comerciais via variáveis NEXT_PUBLIC_WHATSAPP_NUMBER, NEXT_PUBLIC_CONTACT_EMAIL, NEXT_PUBLIC_AIRBNB_URL e NEXT_PUBLIC_BOOKING_URL, mantendo fallback seguro enquanto os dados oficiais não forem confirmados.</w:t>
      </w:r>
    </w:p>
    <w:p>
      <w:pPr>
        <w:spacing w:after="120"/>
      </w:pPr>
      <w:r>
        <w:rPr>
          <w:rFonts w:ascii="Calibri" w:hAnsi="Calibri" w:eastAsia="Calibri"/>
        </w:rPr>
        <w:t>Metadados de produção, canonical, SEO básico, JSON-LD/estrutura de marca, robots.txt e sitemap.xml.</w:t>
      </w:r>
    </w:p>
    <w:p>
      <w:pPr>
        <w:spacing w:after="120"/>
      </w:pPr>
      <w:r>
        <w:rPr>
          <w:rFonts w:ascii="Calibri" w:hAnsi="Calibri" w:eastAsia="Calibri"/>
        </w:rPr>
        <w:t>Rotas legais nativas /privacy e /terms com wrapper compartilhado e placeholders para dados societários ainda pendentes.</w:t>
      </w:r>
    </w:p>
    <w:p>
      <w:pPr>
        <w:spacing w:after="120"/>
      </w:pPr>
      <w:r>
        <w:rPr>
          <w:rFonts w:ascii="Calibri" w:hAnsi="Calibri" w:eastAsia="Calibri"/>
        </w:rPr>
        <w:t>Preparação de assets e identidade: logo, wordmark, marca, hero, localização, perfis, assinatura/porta, ícones menores e solver-super-icons em WebP/PNG integrados à interface.</w:t>
      </w:r>
    </w:p>
    <w:p>
      <w:pPr>
        <w:spacing w:after="120"/>
      </w:pPr>
      <w:r>
        <w:rPr>
          <w:rFonts w:ascii="Calibri" w:hAnsi="Calibri" w:eastAsia="Calibri"/>
        </w:rPr>
        <w:t>Testes automatizados de renderização HTML e validações de build realizadas durante o desenvolvimento.</w:t>
      </w:r>
    </w:p>
    <w:p>
      <w:pPr>
        <w:pStyle w:val="Heading1"/>
      </w:pPr>
      <w:r>
        <w:rPr>
          <w:rFonts w:ascii="Calibri" w:hAnsi="Calibri" w:eastAsia="Calibri"/>
        </w:rPr>
        <w:t>4. Elementos oferecidos como parte do pacote com super desconto</w:t>
      </w:r>
    </w:p>
    <w:p>
      <w:pPr>
        <w:spacing w:after="120"/>
      </w:pPr>
      <w:r>
        <w:rPr>
          <w:rFonts w:ascii="Calibri" w:hAnsi="Calibri" w:eastAsia="Calibri"/>
        </w:rPr>
        <w:t>Construção de website institucional premium de fase inicial, com design e implementação customizados, em vez de template genérico.</w:t>
      </w:r>
    </w:p>
    <w:p>
      <w:pPr>
        <w:spacing w:after="120"/>
      </w:pPr>
      <w:r>
        <w:rPr>
          <w:rFonts w:ascii="Calibri" w:hAnsi="Calibri" w:eastAsia="Calibri"/>
        </w:rPr>
        <w:t>Hospedagem/deploy técnico e preparação de infraestrutura, incluindo apoio com GitHub, Cloudflare/OpenAI Sites e configuração de domínio/DNS quando as credenciais e acessos estiverem disponíveis.</w:t>
      </w:r>
    </w:p>
    <w:p>
      <w:pPr>
        <w:spacing w:after="120"/>
      </w:pPr>
      <w:r>
        <w:rPr>
          <w:rFonts w:ascii="Calibri" w:hAnsi="Calibri" w:eastAsia="Calibri"/>
        </w:rPr>
        <w:t>Manutenção inicial e ajustes de polimento dentro do escopo acordado, desde que não representem redesign completo, nova funcionalidade complexa ou mudança radical de direção.</w:t>
      </w:r>
    </w:p>
    <w:p>
      <w:pPr>
        <w:spacing w:after="120"/>
      </w:pPr>
      <w:r>
        <w:rPr>
          <w:rFonts w:ascii="Calibri" w:hAnsi="Calibri" w:eastAsia="Calibri"/>
        </w:rPr>
        <w:t>Implementação tecnológica que poderia ser cobrada separadamente: estrutura preparada para WhatsApp, Airbnb, Booking.com, dados de contato por ambiente, SEO técnico, sitemap, robots, rotas legais e arquitetura configurável.</w:t>
      </w:r>
    </w:p>
    <w:p>
      <w:pPr>
        <w:spacing w:after="120"/>
      </w:pPr>
      <w:r>
        <w:rPr>
          <w:rFonts w:ascii="Calibri" w:hAnsi="Calibri" w:eastAsia="Calibri"/>
        </w:rPr>
        <w:t>Assets personalizados, curadoria visual, integração de ícones 3D e identidade premium consistente aplicada no site, incluindo trabalho de ajuste responsivo e direção visual.</w:t>
      </w:r>
    </w:p>
    <w:p>
      <w:pPr>
        <w:spacing w:after="120"/>
      </w:pPr>
      <w:r>
        <w:rPr>
          <w:rFonts w:ascii="Calibri" w:hAnsi="Calibri" w:eastAsia="Calibri"/>
        </w:rPr>
        <w:t>Suporte de lançamento e validação técnica, incluindo build, testes, checagem de assets e ajustes de responsividade em desktop, tablet e mobile.</w:t>
      </w:r>
    </w:p>
    <w:p>
      <w:pPr>
        <w:pStyle w:val="Heading1"/>
      </w:pPr>
      <w:r>
        <w:rPr>
          <w:rFonts w:ascii="Calibri" w:hAnsi="Calibri" w:eastAsia="Calibri"/>
        </w:rPr>
        <w:t>5. Dependências ainda pendentes do contratante/cliente</w:t>
      </w:r>
    </w:p>
    <w:p>
      <w:pPr>
        <w:spacing w:after="120"/>
      </w:pPr>
      <w:r>
        <w:rPr>
          <w:rFonts w:ascii="Calibri" w:hAnsi="Calibri" w:eastAsia="Calibri"/>
        </w:rPr>
        <w:t>Contrato assinado e confirmação formal de aceite do pacote, preço, desconto, forma de pagamento, prazo e responsabilidades.</w:t>
      </w:r>
    </w:p>
    <w:p>
      <w:pPr>
        <w:spacing w:after="120"/>
      </w:pPr>
      <w:r>
        <w:rPr>
          <w:rFonts w:ascii="Calibri" w:hAnsi="Calibri" w:eastAsia="Calibri"/>
        </w:rPr>
        <w:t>WhatsApp Business definitivo, e-mail de contato oficial e URLs oficiais de Airbnb e Booking.com.</w:t>
      </w:r>
    </w:p>
    <w:p>
      <w:pPr>
        <w:spacing w:after="120"/>
      </w:pPr>
      <w:r>
        <w:rPr>
          <w:rFonts w:ascii="Calibri" w:hAnsi="Calibri" w:eastAsia="Calibri"/>
        </w:rPr>
        <w:t>Dados societários e jurídicos para completar Privacy Policy e Terms of Service: company registration number, registered office address, contato legal e demais informações obrigatórias.</w:t>
      </w:r>
    </w:p>
    <w:p>
      <w:pPr>
        <w:spacing w:after="120"/>
      </w:pPr>
      <w:r>
        <w:rPr>
          <w:rFonts w:ascii="Calibri" w:hAnsi="Calibri" w:eastAsia="Calibri"/>
        </w:rPr>
        <w:t>Acesso ou instruções definitivas para domínio solveraccommodations.com, DNS, Squarespace/registrar, Cloudflare, GitHub e qualquer ferramenta de hospedagem necessária.</w:t>
      </w:r>
    </w:p>
    <w:p>
      <w:pPr>
        <w:spacing w:after="120"/>
      </w:pPr>
      <w:r>
        <w:rPr>
          <w:rFonts w:ascii="Calibri" w:hAnsi="Calibri" w:eastAsia="Calibri"/>
        </w:rPr>
        <w:t>Confirmação sobre propriedade/licença de imagens, logos, ícones e assets usados comercialmente.</w:t>
      </w:r>
    </w:p>
    <w:p>
      <w:pPr>
        <w:spacing w:after="120"/>
      </w:pPr>
      <w:r>
        <w:rPr>
          <w:rFonts w:ascii="Calibri" w:hAnsi="Calibri" w:eastAsia="Calibri"/>
        </w:rPr>
        <w:t>Conteúdo final aprovado: textos, descrições da acomodação, localização permitida para divulgação, regras de estadia, disponibilidade e políticas operacionais.</w:t>
      </w:r>
    </w:p>
    <w:p>
      <w:pPr>
        <w:pStyle w:val="Heading1"/>
      </w:pPr>
      <w:r>
        <w:rPr>
          <w:rFonts w:ascii="Calibri" w:hAnsi="Calibri" w:eastAsia="Calibri"/>
        </w:rPr>
        <w:t>6. Limites razoáveis do escopo incluído</w:t>
      </w:r>
    </w:p>
    <w:p>
      <w:pPr>
        <w:spacing w:after="120"/>
      </w:pPr>
      <w:r>
        <w:rPr>
          <w:rFonts w:ascii="Calibri" w:hAnsi="Calibri" w:eastAsia="Calibri"/>
        </w:rPr>
        <w:t>Sem novo orçamento ou aditivo, o pacote não deve incluir redesign integral após aprovação de direção visual, troca completa de identidade, mudança radical de arquitetura, criação de sistema de reservas completo, pagamentos online, CMS/admin, automações avançadas, CRM, integração oficial via API com Airbnb/Booking.com, copywriting jurídico definitivo, tradução multilíngue completa, fotografia/vídeo profissional, gestão de anúncios/listings ou manutenção ilimitada.</w:t>
      </w:r>
    </w:p>
    <w:p>
      <w:pPr>
        <w:spacing w:after="120"/>
      </w:pPr>
      <w:r>
        <w:rPr>
          <w:rFonts w:ascii="Calibri" w:hAnsi="Calibri" w:eastAsia="Calibri"/>
        </w:rPr>
        <w:t>A integração com Airbnb e Booking.com prevista nesta fase deve ser entendida como preparação visual/técnica para links oficiais, cards, CTAs e configuração por ambiente. Integração profunda com APIs, sincronização de calendários, motores de reserva, channel manager ou gestão de inventário é escopo adicional.</w:t>
      </w:r>
    </w:p>
    <w:p>
      <w:pPr>
        <w:spacing w:after="120"/>
      </w:pPr>
      <w:r>
        <w:rPr>
          <w:rFonts w:ascii="Calibri" w:hAnsi="Calibri" w:eastAsia="Calibri"/>
        </w:rPr>
        <w:t>Ajustes de responsividade, bugs reais, polimentos proporcionais e substituição de dados oficiais fazem parte do fluxo normal. Alterações que impliquem refazer seções inteiras, reabrir direção de marca ou adicionar produto novo devem ser tratadas como change request.</w:t>
      </w:r>
    </w:p>
    <w:p>
      <w:pPr>
        <w:pStyle w:val="Heading1"/>
      </w:pPr>
      <w:r>
        <w:rPr>
          <w:rFonts w:ascii="Calibri" w:hAnsi="Calibri" w:eastAsia="Calibri"/>
        </w:rPr>
        <w:t>7. Critério sugerido para alterações futuras</w:t>
      </w:r>
    </w:p>
    <w:p>
      <w:pPr>
        <w:spacing w:after="120"/>
      </w:pPr>
      <w:r>
        <w:rPr>
          <w:rFonts w:ascii="Calibri" w:hAnsi="Calibri" w:eastAsia="Calibri"/>
        </w:rPr>
        <w:t>Alterações pequenas: correções de texto, troca de link, ajuste visual pontual, troca de imagem equivalente e correção de bug dentro do layout existente.</w:t>
      </w:r>
    </w:p>
    <w:p>
      <w:pPr>
        <w:spacing w:after="120"/>
      </w:pPr>
      <w:r>
        <w:rPr>
          <w:rFonts w:ascii="Calibri" w:hAnsi="Calibri" w:eastAsia="Calibri"/>
        </w:rPr>
        <w:t>Alterações médias: nova seção, reorganização relevante de uma seção, alteração de fluxo de contato, troca de blocos visuais ou adaptação significativa de responsividade.</w:t>
      </w:r>
    </w:p>
    <w:p>
      <w:pPr>
        <w:spacing w:after="120"/>
      </w:pPr>
      <w:r>
        <w:rPr>
          <w:rFonts w:ascii="Calibri" w:hAnsi="Calibri" w:eastAsia="Calibri"/>
        </w:rPr>
        <w:t>Alterações grandes: mudança de identidade, redesign do site, booking engine, integração operacional com plataformas, dashboards, CMS, pagamentos, automações, área do cliente ou qualquer funcionalidade que mude a natureza da fase inicial.</w:t>
      </w:r>
    </w:p>
    <w:p>
      <w:pPr>
        <w:spacing w:after="120"/>
      </w:pPr>
      <w:r>
        <w:rPr>
          <w:rFonts w:ascii="Calibri" w:hAnsi="Calibri" w:eastAsia="Calibri"/>
        </w:rPr>
        <w:t>Alterações médias ou grandes devem ter aprovação por escrito, estimativa de impacto em prazo e, quando aplicável, orçamento adicional antes da implementação.</w:t>
      </w:r>
    </w:p>
    <w:p>
      <w:pPr>
        <w:pStyle w:val="Heading1"/>
      </w:pPr>
      <w:r>
        <w:rPr>
          <w:rFonts w:ascii="Calibri" w:hAnsi="Calibri" w:eastAsia="Calibri"/>
        </w:rPr>
        <w:t>8. Uso, propriedade e liberação comercial</w:t>
      </w:r>
    </w:p>
    <w:p>
      <w:pPr>
        <w:spacing w:after="120"/>
      </w:pPr>
      <w:r>
        <w:rPr>
          <w:rFonts w:ascii="Calibri" w:hAnsi="Calibri" w:eastAsia="Calibri"/>
        </w:rPr>
        <w:t>Enquanto contrato, pagamento e aceite formal não estiverem regularizados, recomenda-se tratar o trabalho como material em desenvolvimento, com licença de uso comercial condicionada à formalização. O prestador deve preservar cópia técnica do trabalho, registros de commits, arquivos de projeto, assets integrados, evidências de testes e mensagens de aprovação/solicitação.</w:t>
      </w:r>
    </w:p>
    <w:p>
      <w:pPr>
        <w:spacing w:after="120"/>
      </w:pPr>
      <w:r>
        <w:rPr>
          <w:rFonts w:ascii="Calibri" w:hAnsi="Calibri" w:eastAsia="Calibri"/>
        </w:rPr>
        <w:t>A liberação definitiva do código-fonte, assets customizados, deploy de produção, manutenção contínua e uso comercial amplo deve estar vinculada às condições comerciais acordadas entre as partes.</w:t>
      </w:r>
    </w:p>
    <w:p>
      <w:pPr>
        <w:pStyle w:val="Heading1"/>
      </w:pPr>
      <w:r>
        <w:rPr>
          <w:rFonts w:ascii="Calibri" w:hAnsi="Calibri" w:eastAsia="Calibri"/>
        </w:rPr>
        <w:t>9. Estimativa indicativa de valor de mercado do trabalho equivalente</w:t>
      </w:r>
    </w:p>
    <w:p>
      <w:pPr>
        <w:spacing w:after="120"/>
      </w:pPr>
      <w:r>
        <w:rPr>
          <w:rFonts w:ascii="Calibri" w:hAnsi="Calibri" w:eastAsia="Calibri"/>
        </w:rPr>
        <w:t>As faixas abaixo são estimativas conservadoras de substituição comercial para um fornecedor profissional criar trabalho equivalente. Não são cobrança automática, nem substituem proposta assinada. Servem para demonstrar que o pacote com desconto inclui itens que normalmente poderiam ser precificados separadamente.</w:t>
      </w:r>
    </w:p>
    <w:tbl>
      <w:tblPr>
        <w:tblW w:type="dxa" w:w="9200"/>
        <w:jc w:val="left"/>
        <w:tblLook w:firstColumn="1" w:firstRow="1" w:lastColumn="0" w:lastRow="0" w:noHBand="0" w:noVBand="1" w:val="04A0"/>
        <w:tblLayout w:type="fixed"/>
      </w:tblPr>
      <w:tblGrid>
        <w:gridCol w:w="4939"/>
        <w:gridCol w:w="4939"/>
      </w:tblGrid>
      <w:tr>
        <w:tc>
          <w:tcPr>
            <w:tcW w:type="dxa" w:w="4939"/>
            <w:shd w:fill="0B3B2E"/>
            <w:tcBorders>
              <w:top w:val="single" w:sz="4" w:space="0" w:color="0B3B2E"/>
              <w:left w:val="single" w:sz="4" w:space="0" w:color="0B3B2E"/>
              <w:bottom w:val="single" w:sz="4" w:space="0" w:color="0B3B2E"/>
              <w:right w:val="single" w:sz="4" w:space="0" w:color="0B3B2E"/>
            </w:tcBorders>
          </w:tcPr>
          <w:p>
            <w:pPr>
              <w:spacing w:after="0"/>
            </w:pPr>
            <w:r>
              <w:rPr>
                <w:b/>
                <w:color w:val="FFFFFF"/>
                <w:sz w:val="19"/>
              </w:rPr>
              <w:t>Categoria de trabalho equivalente</w:t>
            </w:r>
          </w:p>
        </w:tc>
        <w:tc>
          <w:tcPr>
            <w:tcW w:type="dxa" w:w="4939"/>
            <w:shd w:fill="0B3B2E"/>
            <w:tcBorders>
              <w:top w:val="single" w:sz="4" w:space="0" w:color="0B3B2E"/>
              <w:left w:val="single" w:sz="4" w:space="0" w:color="0B3B2E"/>
              <w:bottom w:val="single" w:sz="4" w:space="0" w:color="0B3B2E"/>
              <w:right w:val="single" w:sz="4" w:space="0" w:color="0B3B2E"/>
            </w:tcBorders>
          </w:tcPr>
          <w:p>
            <w:pPr>
              <w:spacing w:after="0"/>
            </w:pPr>
            <w:r>
              <w:rPr>
                <w:b/>
                <w:color w:val="FFFFFF"/>
                <w:sz w:val="19"/>
              </w:rPr>
              <w:t>Faixa indicativa de mercado</w:t>
            </w:r>
          </w:p>
        </w:tc>
      </w:tr>
      <w:tr>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pPr>
            <w:r>
              <w:rPr>
                <w:sz w:val="19"/>
              </w:rPr>
              <w:t>Estratégia, arquitetura de conteúdo e UX inicial</w:t>
            </w:r>
          </w:p>
        </w:tc>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jc w:val="right"/>
            </w:pPr>
            <w:r>
              <w:rPr>
                <w:sz w:val="19"/>
              </w:rPr>
              <w:t>£600 – £1,800</w:t>
            </w:r>
          </w:p>
        </w:tc>
      </w:tr>
      <w:tr>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pPr>
            <w:r>
              <w:rPr>
                <w:sz w:val="19"/>
              </w:rPr>
              <w:t>Design visual premium / direção editorial responsiva</w:t>
            </w:r>
          </w:p>
        </w:tc>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jc w:val="right"/>
            </w:pPr>
            <w:r>
              <w:rPr>
                <w:sz w:val="19"/>
              </w:rPr>
              <w:t>£1,200 – £4,000</w:t>
            </w:r>
          </w:p>
        </w:tc>
      </w:tr>
      <w:tr>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pPr>
            <w:r>
              <w:rPr>
                <w:sz w:val="19"/>
              </w:rPr>
              <w:t>Implementação front-end customizada e responsiva</w:t>
            </w:r>
          </w:p>
        </w:tc>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jc w:val="right"/>
            </w:pPr>
            <w:r>
              <w:rPr>
                <w:sz w:val="19"/>
              </w:rPr>
              <w:t>£2,000 – £6,500</w:t>
            </w:r>
          </w:p>
        </w:tc>
      </w:tr>
      <w:tr>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pPr>
            <w:r>
              <w:rPr>
                <w:sz w:val="19"/>
              </w:rPr>
              <w:t>SEO técnico, metadata, sitemap, robots, estrutura semântica</w:t>
            </w:r>
          </w:p>
        </w:tc>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jc w:val="right"/>
            </w:pPr>
            <w:r>
              <w:rPr>
                <w:sz w:val="19"/>
              </w:rPr>
              <w:t>£350 – £1,200</w:t>
            </w:r>
          </w:p>
        </w:tc>
      </w:tr>
      <w:tr>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pPr>
            <w:r>
              <w:rPr>
                <w:sz w:val="19"/>
              </w:rPr>
              <w:t>Configuração deploy, domínio, hosting e suporte técnico de publicação</w:t>
            </w:r>
          </w:p>
        </w:tc>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jc w:val="right"/>
            </w:pPr>
            <w:r>
              <w:rPr>
                <w:sz w:val="19"/>
              </w:rPr>
              <w:t>£300 – £1,500</w:t>
            </w:r>
          </w:p>
        </w:tc>
      </w:tr>
      <w:tr>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pPr>
            <w:r>
              <w:rPr>
                <w:sz w:val="19"/>
              </w:rPr>
              <w:t>Preparação WhatsApp, Airbnb, Booking.com e configuração por ambiente</w:t>
            </w:r>
          </w:p>
        </w:tc>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jc w:val="right"/>
            </w:pPr>
            <w:r>
              <w:rPr>
                <w:sz w:val="19"/>
              </w:rPr>
              <w:t>£400 – £1,800</w:t>
            </w:r>
          </w:p>
        </w:tc>
      </w:tr>
      <w:tr>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pPr>
            <w:r>
              <w:rPr>
                <w:sz w:val="19"/>
              </w:rPr>
              <w:t>Assets personalizados, curadoria 3D e integração visual premium</w:t>
            </w:r>
          </w:p>
        </w:tc>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jc w:val="right"/>
            </w:pPr>
            <w:r>
              <w:rPr>
                <w:sz w:val="19"/>
              </w:rPr>
              <w:t>£800 – £4,500</w:t>
            </w:r>
          </w:p>
        </w:tc>
      </w:tr>
      <w:tr>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pPr>
            <w:r>
              <w:rPr>
                <w:sz w:val="19"/>
              </w:rPr>
              <w:t>Páginas legais estruturadas com placeholders e navegação</w:t>
            </w:r>
          </w:p>
        </w:tc>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jc w:val="right"/>
            </w:pPr>
            <w:r>
              <w:rPr>
                <w:sz w:val="19"/>
              </w:rPr>
              <w:t>£250 – £900</w:t>
            </w:r>
          </w:p>
        </w:tc>
      </w:tr>
      <w:tr>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pPr>
            <w:r>
              <w:rPr>
                <w:sz w:val="19"/>
              </w:rPr>
              <w:t>Manutenção/polimento inicial e QA responsivo</w:t>
            </w:r>
          </w:p>
        </w:tc>
        <w:tc>
          <w:tcPr>
            <w:tcW w:type="dxa" w:w="4939"/>
            <w:vAlign w:val="center"/>
            <w:tcBorders>
              <w:top w:val="single" w:sz="4" w:space="0" w:color="DADCE0"/>
              <w:left w:val="single" w:sz="4" w:space="0" w:color="DADCE0"/>
              <w:bottom w:val="single" w:sz="4" w:space="0" w:color="DADCE0"/>
              <w:right w:val="single" w:sz="4" w:space="0" w:color="DADCE0"/>
            </w:tcBorders>
          </w:tcPr>
          <w:p>
            <w:pPr>
              <w:spacing w:after="40"/>
              <w:jc w:val="right"/>
            </w:pPr>
            <w:r>
              <w:rPr>
                <w:sz w:val="19"/>
              </w:rPr>
              <w:t>£400 – £1,500</w:t>
            </w:r>
          </w:p>
        </w:tc>
      </w:tr>
    </w:tbl>
    <w:p>
      <w:r>
        <w:rPr>
          <w:rFonts w:ascii="Calibri" w:hAnsi="Calibri" w:eastAsia="Calibri"/>
          <w:sz w:val="18"/>
        </w:rPr>
        <w:t>Nota: faixas não incluem impostos, taxas de plataforma, licenças de terceiros, anúncios pagos, fotografia/vídeo profissional ou gestão operacional de listings.</w:t>
      </w:r>
    </w:p>
    <w:p>
      <w:pPr>
        <w:pStyle w:val="Heading1"/>
      </w:pPr>
      <w:r>
        <w:rPr>
          <w:rFonts w:ascii="Calibri" w:hAnsi="Calibri" w:eastAsia="Calibri"/>
        </w:rPr>
        <w:t>10. Faixa total de referência</w:t>
      </w:r>
    </w:p>
    <w:p>
      <w:pPr>
        <w:spacing w:after="120"/>
      </w:pPr>
      <w:r>
        <w:rPr>
          <w:rFonts w:ascii="Calibri" w:hAnsi="Calibri" w:eastAsia="Calibri"/>
        </w:rPr>
        <w:t>Somando as categorias acima, uma reconstrução equivalente por fornecedor profissional poderia ficar, de forma conservadora, na faixa aproximada de £6,300 a £23,700, dependendo de senioridade, número de revisões, velocidade de entrega, direitos de uso dos assets, profundidade das integrações e nível de suporte pós-lançamento.</w:t>
      </w:r>
    </w:p>
    <w:p>
      <w:pPr>
        <w:spacing w:after="120"/>
      </w:pPr>
      <w:r>
        <w:rPr>
          <w:rFonts w:ascii="Calibri" w:hAnsi="Calibri" w:eastAsia="Calibri"/>
        </w:rPr>
        <w:t>Para fins de negociação e defesa de escopo, recomenda-se apresentar como valor de mercado aproximado uma faixa conservadora central entre £7,500 e £15,000+ para o conjunto já oferecido/desenvolvido, sem afirmar que esse é o preço contratado se o pacote promocional acordado tiver sido menor.</w:t>
      </w:r>
    </w:p>
    <w:p>
      <w:pPr>
        <w:pStyle w:val="Heading1"/>
      </w:pPr>
      <w:r>
        <w:rPr>
          <w:rFonts w:ascii="Calibri" w:hAnsi="Calibri" w:eastAsia="Calibri"/>
        </w:rPr>
        <w:t>11. Registro de reserva de escopo</w:t>
      </w:r>
    </w:p>
    <w:p>
      <w:pPr>
        <w:spacing w:after="120"/>
      </w:pPr>
      <w:r>
        <w:rPr>
          <w:rFonts w:ascii="Calibri" w:hAnsi="Calibri" w:eastAsia="Calibri"/>
        </w:rPr>
        <w:t>Este registro deve ser usado para esclarecer que o trabalho realizado até esta data foi desenvolvido com base em um pacote promocional e em premissas específicas. Caso o contratante solicite mudança radical, funcionalidade adicional, integração profunda, novo sistema ou alteração que extrapole o escopo inicial, o prestador poderá exigir novo orçamento, novo prazo e formalização antes de executar.</w:t>
      </w:r>
    </w:p>
    <w:p>
      <w:pPr>
        <w:spacing w:after="120"/>
      </w:pPr>
      <w:r>
        <w:rPr>
          <w:rFonts w:ascii="Calibri" w:hAnsi="Calibri" w:eastAsia="Calibri"/>
        </w:rPr>
        <w:t>Também fica registrado que atrasos ou impossibilidade de configuração causados por ausência de contrato assinado, falta de acesso, dados incorretos, credenciais inválidas, domínio não liberado ou informações legais incompletas não devem ser atribuídos ao prestador como falha de entrega.</w:t>
      </w:r>
    </w:p>
    <w:p>
      <w:pPr>
        <w:pStyle w:val="Heading1"/>
      </w:pPr>
      <w:r>
        <w:rPr>
          <w:rFonts w:ascii="Calibri" w:hAnsi="Calibri" w:eastAsia="Calibri"/>
        </w:rPr>
        <w:t>12. Próximos passos recomendados</w:t>
      </w:r>
    </w:p>
    <w:p>
      <w:pPr>
        <w:spacing w:after="120"/>
      </w:pPr>
      <w:r>
        <w:rPr>
          <w:rFonts w:ascii="Calibri" w:hAnsi="Calibri" w:eastAsia="Calibri"/>
        </w:rPr>
        <w:t>Solicitar imediatamente a devolução do contrato assinado ou confirmação formal por escrito do aceite do escopo, valor e condições.</w:t>
      </w:r>
    </w:p>
    <w:p>
      <w:pPr>
        <w:spacing w:after="120"/>
      </w:pPr>
      <w:r>
        <w:rPr>
          <w:rFonts w:ascii="Calibri" w:hAnsi="Calibri" w:eastAsia="Calibri"/>
        </w:rPr>
        <w:t>Registrar por escrito que qualquer alteração grande dependerá de orçamento adicional.</w:t>
      </w:r>
    </w:p>
    <w:p>
      <w:pPr>
        <w:spacing w:after="120"/>
      </w:pPr>
      <w:r>
        <w:rPr>
          <w:rFonts w:ascii="Calibri" w:hAnsi="Calibri" w:eastAsia="Calibri"/>
        </w:rPr>
        <w:t>Solicitar os dados pendentes: WhatsApp, e-mail, URLs Airbnb/Booking.com, dados legais, domínio/DNS e acessos necessários.</w:t>
      </w:r>
    </w:p>
    <w:p>
      <w:pPr>
        <w:spacing w:after="120"/>
      </w:pPr>
      <w:r>
        <w:rPr>
          <w:rFonts w:ascii="Calibri" w:hAnsi="Calibri" w:eastAsia="Calibri"/>
        </w:rPr>
        <w:t>Guardar este documento junto com prints, commits, links de produção/local, arquivos de assets e histórico de mensagens.</w:t>
      </w:r>
    </w:p>
    <w:p>
      <w:pPr>
        <w:spacing w:after="120"/>
      </w:pPr>
      <w:r>
        <w:rPr>
          <w:rFonts w:ascii="Calibri" w:hAnsi="Calibri" w:eastAsia="Calibri"/>
        </w:rPr>
        <w:t>Submeter este registro a revisão jurídica se houver risco de disputa, inadimplência ou uso do trabalho sem formalização.</w:t>
      </w:r>
    </w:p>
    <w:p>
      <w:pPr>
        <w:pStyle w:val="Heading1"/>
      </w:pPr>
      <w:r>
        <w:rPr>
          <w:rFonts w:ascii="Calibri" w:hAnsi="Calibri" w:eastAsia="Calibri"/>
        </w:rPr>
        <w:t>13. Fontes públicas consultadas para contexto de mercado</w:t>
      </w:r>
    </w:p>
    <w:p>
      <w:pPr>
        <w:spacing w:after="120"/>
      </w:pPr>
      <w:r>
        <w:rPr>
          <w:rFonts w:ascii="Calibri" w:hAnsi="Calibri" w:eastAsia="Calibri"/>
        </w:rPr>
        <w:t>As referências abaixo foram usadas apenas como orientação pública geral sobre variação de custos de website, manutenção, branding e desenvolvimento. Como páginas comerciais mudam com frequência, a precificação final deve sempre considerar escopo, fornecedor, país, senioridade e direitos de uso.</w:t>
      </w:r>
    </w:p>
    <w:p>
      <w:pPr>
        <w:spacing w:after="120"/>
      </w:pPr>
      <w:r>
        <w:rPr>
          <w:rFonts w:ascii="Calibri" w:hAnsi="Calibri" w:eastAsia="Calibri"/>
        </w:rPr>
        <w:t>Wix — How much does a website cost: https://www.wix.com/blog/how-much-does-a-website-cost</w:t>
      </w:r>
    </w:p>
    <w:p>
      <w:pPr>
        <w:spacing w:after="120"/>
      </w:pPr>
      <w:r>
        <w:rPr>
          <w:rFonts w:ascii="Calibri" w:hAnsi="Calibri" w:eastAsia="Calibri"/>
        </w:rPr>
        <w:t>PeoplePerHour — marketplace de trabalhos freelance em tecnologia/web: https://www.peopleperhour.com/freelance-jobs/technology-programming/website-development</w:t>
      </w:r>
    </w:p>
    <w:p>
      <w:pPr>
        <w:spacing w:after="120"/>
      </w:pPr>
      <w:r>
        <w:rPr>
          <w:rFonts w:ascii="Calibri" w:hAnsi="Calibri" w:eastAsia="Calibri"/>
        </w:rPr>
        <w:t>Forbes Advisor — Website cost guide: https://www.forbes.com/advisor/business/software/website-cost/</w:t>
      </w:r>
    </w:p>
    <w:p>
      <w:pPr>
        <w:spacing w:after="120"/>
      </w:pPr>
      <w:r>
        <w:rPr>
          <w:rFonts w:ascii="Calibri" w:hAnsi="Calibri" w:eastAsia="Calibri"/>
        </w:rPr>
        <w:t>Checkatrade — website build cost guide: https://www.checkatrade.com/blog/cost-guides/cost-build-website/</w:t>
      </w:r>
    </w:p>
    <w:p>
      <w:pPr>
        <w:pStyle w:val="Heading1"/>
      </w:pPr>
      <w:r>
        <w:rPr>
          <w:rFonts w:ascii="Calibri" w:hAnsi="Calibri" w:eastAsia="Calibri"/>
        </w:rPr>
        <w:t>14. Assinaturas / ciência</w:t>
      </w:r>
    </w:p>
    <w:p>
      <w:pPr>
        <w:spacing w:after="120"/>
      </w:pPr>
      <w:r>
        <w:rPr>
          <w:rFonts w:ascii="Calibri" w:hAnsi="Calibri" w:eastAsia="Calibri"/>
        </w:rPr>
        <w:t>Prestador: ____________________________________________  Data: ____ / ____ / ______</w:t>
      </w:r>
    </w:p>
    <w:p>
      <w:pPr>
        <w:spacing w:after="120"/>
      </w:pPr>
      <w:r>
        <w:rPr>
          <w:rFonts w:ascii="Calibri" w:hAnsi="Calibri" w:eastAsia="Calibri"/>
        </w:rPr>
        <w:t>Contratante: __________________________________________  Data: ____ / ____ / ______</w:t>
      </w:r>
    </w:p>
    <w:p>
      <w:pPr>
        <w:spacing w:after="120"/>
      </w:pPr>
      <w:r>
        <w:rPr>
          <w:rFonts w:ascii="Calibri" w:hAnsi="Calibri" w:eastAsia="Calibri"/>
        </w:rPr>
        <w:t>Observações adicionais: ______________________________________________________________________________________________________________________________________</w:t>
      </w:r>
    </w:p>
    <w:p>
      <w:pPr>
        <w:spacing w:before="160" w:after="160"/>
      </w:pPr>
      <w:r>
        <w:rPr>
          <w:rFonts w:ascii="Calibri" w:hAnsi="Calibri" w:eastAsia="Calibri"/>
          <w:b/>
          <w:color w:val="7A5A00"/>
        </w:rPr>
        <w:t xml:space="preserve">Nota jurídica prática: </w:t>
      </w:r>
      <w:r>
        <w:rPr>
          <w:rFonts w:ascii="Calibri" w:hAnsi="Calibri" w:eastAsia="Calibri"/>
          <w:color w:val="505050"/>
        </w:rPr>
        <w:t>para uso em disputa, cobrança ou bloqueio de uso comercial, este documento deve ser revisado por advogado/solicitor com base no contrato enviado, mensagens, comprovantes e lei aplicável.</w:t>
      </w:r>
    </w:p>
    <w:sectPr w:rsidR="00FC693F" w:rsidRPr="0006063C" w:rsidSect="00034616">
      <w:footerReference w:type="default" r:id="rId9"/>
      <w:pgSz w:w="12240" w:h="15840"/>
      <w:pgMar w:top="1152" w:right="1181" w:bottom="1152"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Solver Accommodations — registro interno de escopo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Calibri"/>
      <w:b/>
      <w:bCs/>
      <w:color w:val="0B3B2E"/>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1F4D3A"/>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