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Diseño del Proceso ETL</w:t>
      </w:r>
    </w:p>
    <w:p/>
    <w:p>
      <w:pPr>
        <w:jc w:val="center"/>
      </w:pPr>
      <w:r>
        <w:rPr>
          <w:sz w:val="32"/>
        </w:rPr>
        <w:t>Proyecto Tarjeta de Crédito - Crédito Comercial</w:t>
      </w:r>
    </w:p>
    <w:p/>
    <w:p/>
    <w:p>
      <w:pPr>
        <w:jc w:val="center"/>
      </w:pPr>
      <w:r>
        <w:rPr>
          <w:sz w:val="24"/>
        </w:rPr>
        <w:t>Autor: Equipo de Ingeniería de Datos</w:t>
      </w:r>
    </w:p>
    <w:p>
      <w:pPr>
        <w:jc w:val="center"/>
      </w:pPr>
      <w:r>
        <w:rPr>
          <w:sz w:val="24"/>
        </w:rPr>
        <w:t>Fecha: 2025-07-31</w:t>
      </w:r>
    </w:p>
    <w:p>
      <w:r>
        <w:br w:type="page"/>
      </w:r>
    </w:p>
    <w:p>
      <w:pPr>
        <w:pStyle w:val="Heading1"/>
        <w:jc w:val="center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Control de Versiones: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Versión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Adiciones / Modificaciones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Preparado por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Aprobado 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Nombre y Apellido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Cargo y Área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</w:rPr>
              <w:t>Fecha de Aprobación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center"/>
      </w:pPr>
      <w:r>
        <w:t>Introducción</w:t>
      </w:r>
    </w:p>
    <w:p>
      <w:pPr>
        <w:jc w:val="both"/>
      </w:pPr>
      <w:r>
        <w:t>Este documento presenta la especificación técnica detallada de un conjunto de procesos ETL implementados en IBM DataStage versión 11.7. El propósito principal de esta documentación es proporcionar una visión estructurada y exhaustiva de los flujos de datos diseñados para la extracción, transformación y carga de información entre los diversos sistemas y repositorios de datos de la organización.</w:t>
        <w:br/>
        <w:br/>
        <w:t># La arquitectura de los procesos se encuentra organizada siguiendo un enfoque modular, donde los jobs están categorizados según su función específica dentro del ciclo ETL: extracción desde los sistemas fuente, transformaciones intermedias para normalización y enriquecimiento de datos, y finalmente las operaciones de carga hacia los sistemas destino. Para cada job, se documentan sus atributos específicos, la lógica SQL subyacente que determina las reglas de transformación, y los parámetros configurables que permiten su adaptación a diferentes entornos o necesidades operativas.</w:t>
        <w:br/>
        <w:br/>
        <w:t># El diseño técnico aquí presentado incluye referencias detalladas a las tablas y sistemas involucrados en el flujo de datos, identificando claramente las fuentes de información y los repositorios destino. Asimismo, se documentan los parámetros técnicos relevantes que influyen en aspectos como el rendimiento, la gestión de errores y las dependencias entre procesos.</w:t>
        <w:br/>
        <w:br/>
        <w:t># La información contenida en este documento ha sido exportada directamente desde el entorno de desarrollo de IBM DataStage 11.7, garantizando así la fidelidad y precisión de las especificaciones técnicas respecto a la implementación actual en los sistemas productivos.</w:t>
        <w:br/>
        <w:t xml:space="preserve"># </w:t>
      </w:r>
    </w:p>
    <w:p>
      <w:r>
        <w:br w:type="page"/>
      </w:r>
    </w:p>
    <w:p>
      <w:pPr>
        <w:pStyle w:val="Heading1"/>
      </w:pPr>
      <w:r>
        <w:t>1. Diseño técnico de la solución</w:t>
      </w:r>
    </w:p>
    <w:p>
      <w:pPr>
        <w:pStyle w:val="Heading2"/>
      </w:pPr>
      <w:r>
        <w:t>1.1 Diagrama de flujo de información</w:t>
      </w:r>
    </w:p>
    <w:p>
      <w:pPr>
        <w:pStyle w:val="Heading2"/>
      </w:pPr>
      <w:r>
        <w:t>1.2 Diagrama de procesos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Jobs del proceso ETL </w:t>
            </w:r>
          </w:p>
        </w:tc>
      </w:tr>
      <w:tr>
        <w:tc>
          <w:tcPr>
            <w:tcW w:type="dxa" w:w="4320"/>
          </w:tcPr>
          <w:p>
            <w:r>
              <w:t>PPAL</w:t>
            </w:r>
          </w:p>
        </w:tc>
        <w:tc>
          <w:tcPr>
            <w:tcW w:type="dxa" w:w="4320"/>
          </w:tcPr>
          <w:p>
            <w:r>
              <w:t>SEQ_PPAL_TRANSFERENCIAS_ICBS</w:t>
            </w:r>
          </w:p>
        </w:tc>
      </w:tr>
      <w:tr>
        <w:tc>
          <w:tcPr>
            <w:tcW w:type="dxa" w:w="4320"/>
            <w:vMerge w:val="restart"/>
          </w:tcPr>
          <w:p>
            <w:r>
              <w:t>EXT</w:t>
            </w:r>
          </w:p>
        </w:tc>
        <w:tc>
          <w:tcPr>
            <w:tcW w:type="dxa" w:w="4320"/>
          </w:tcPr>
          <w:p>
            <w:r>
              <w:t>JOB_EXT3_ACVW_ALL_AC_ENTRIES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JOB_EXT3_ADMODS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JOB_EXT3_ADMODS2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JOB_EXT3_FLEXCUBE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JOB_EXT3_FLEXCUBE_190703_DEV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JOB_EXT3_FLEXCUBE2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JOB_EXT3_FLEXCUBE2_190703_DEV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JOB_EXT3_GWTB_MSG_IN_LOG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JOB_EXT3_MSG_ODS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JOB_EXT3_MSG_ODS2</w:t>
            </w:r>
          </w:p>
        </w:tc>
      </w:tr>
      <w:tr>
        <w:tc>
          <w:tcPr>
            <w:tcW w:type="dxa" w:w="4320"/>
            <w:vMerge w:val="restart"/>
          </w:tcPr>
          <w:p>
            <w:r>
              <w:t>TRF</w:t>
            </w:r>
          </w:p>
        </w:tc>
        <w:tc>
          <w:tcPr>
            <w:tcW w:type="dxa" w:w="4320"/>
          </w:tcPr>
          <w:p>
            <w:r>
              <w:t>JOB_TRF_ADMODS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JOB_TRF_ADMODS2</w:t>
            </w:r>
          </w:p>
        </w:tc>
      </w:tr>
      <w:tr>
        <w:tc>
          <w:tcPr>
            <w:tcW w:type="dxa" w:w="4320"/>
            <w:vMerge w:val="restart"/>
          </w:tcPr>
          <w:p>
            <w:r>
              <w:t>LOD</w:t>
            </w:r>
          </w:p>
        </w:tc>
        <w:tc>
          <w:tcPr>
            <w:tcW w:type="dxa" w:w="4320"/>
          </w:tcPr>
          <w:p>
            <w:r>
              <w:t>JOB_LOD_EXCEL_TRANS_ISCBS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JOB_LOD_SF_TRANS_ISCBS</w:t>
            </w:r>
          </w:p>
        </w:tc>
      </w:tr>
      <w:tr>
        <w:tc>
          <w:tcPr>
            <w:tcW w:type="dxa" w:w="4320"/>
            <w:vMerge w:val="restart"/>
          </w:tcPr>
          <w:p>
            <w:r>
              <w:t>OTRO</w:t>
            </w:r>
          </w:p>
        </w:tc>
        <w:tc>
          <w:tcPr>
            <w:tcW w:type="dxa" w:w="4320"/>
          </w:tcPr>
          <w:p>
            <w:r>
              <w:t>JOB_BORRA_DS_ICBS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JOB_SW_TRANSFERENCIAS_ICBS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JOB_VARIABLES_TBL_CTL_CARGUE_ICBS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SEQ_LOD_EXCEL_TRASN_ICBS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SEQ_LOD_SF_TRASN_ICBS</w:t>
            </w:r>
          </w:p>
        </w:tc>
      </w:tr>
    </w:tbl>
    <w:p>
      <w:pPr>
        <w:pStyle w:val="Heading2"/>
      </w:pPr>
      <w:r>
        <w:t>1.3 Parámetros de la secuencia principal</w:t>
      </w:r>
    </w:p>
    <w:p>
      <w:pPr>
        <w:jc w:val="both"/>
      </w:pPr>
      <w:r>
        <w:t>En esta sección se describen los parámetros de entrada de la solución</w:t>
      </w:r>
    </w:p>
    <w:p>
      <w:r>
        <w:rPr>
          <w:b/>
        </w:rPr>
        <w:t xml:space="preserve">VAP: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Nombre del parámetro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Tipo de dato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VAP_FEC_INI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VAP_FEC_FIN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VAP_NUM_CTA_ORIG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VAP_COD_ENTIDAD_ORIG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VAP_FORMATO_ARCHIVO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VAP_EXTENSION_ARCHIVO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VAP_NOM_ARCHIVO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VAP_NOM_CLIENTE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VAP_TIPO_CTA_DESTINO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VAP_NUM_CTA_DESTINO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VAP_NUM_CTA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VAP_USUARIO_EJEC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PSET: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Nombre del parámetro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Tipo de dato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left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PSET_WSFTPGAW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PSET_RUTAS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PSET_ADMFCP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PSET_ADMODS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PSET_ADMSTAGE</w:t>
            </w:r>
          </w:p>
        </w:tc>
        <w:tc>
          <w:tcPr>
            <w:tcW w:type="dxa" w:w="2880"/>
          </w:tcPr>
          <w:p>
            <w:r>
              <w:t>Parameter Set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1.4 Información general</w:t>
      </w:r>
    </w:p>
    <w:p>
      <w:r>
        <w:t>Esta sección contiene información general sobre los procesos de ETL implementados en IBM DataStage 11.7.</w:t>
      </w:r>
    </w:p>
    <w:p>
      <w:pPr>
        <w:pStyle w:val="Heading3"/>
      </w:pPr>
      <w:r>
        <w:t xml:space="preserve">Secuencia principal: </w:t>
      </w:r>
    </w:p>
    <w:p>
      <w:r>
        <w:t>\Jobs\CQ117923 - Transferencias Masivas AVAL\TRANSFERENCIAS_ICBS\SEQUENCE</w:t>
      </w:r>
    </w:p>
    <w:p>
      <w:pPr>
        <w:pStyle w:val="Heading4"/>
      </w:pPr>
      <w:r>
        <w:t xml:space="preserve">Tablas de homologación </w:t>
      </w:r>
    </w:p>
    <w:p>
      <w:pPr>
        <w:pStyle w:val="Heading4"/>
      </w:pPr>
      <w:r>
        <w:t xml:space="preserve">Tablas de agrupación </w:t>
      </w:r>
    </w:p>
    <w:p>
      <w:pPr>
        <w:pStyle w:val="ListBullet"/>
      </w:pPr>
      <w:r>
        <w:t>179_PRODUCTOS_TRANSFERENCIAS_AVAL</w:t>
      </w:r>
    </w:p>
    <w:p>
      <w:pPr>
        <w:pStyle w:val="Heading3"/>
      </w:pPr>
      <w:r>
        <w:t xml:space="preserve">Rutinas: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t>Rutina</w:t>
            </w:r>
          </w:p>
        </w:tc>
        <w:tc>
          <w:tcPr>
            <w:tcW w:type="dxa" w:w="5760"/>
            <w:gridSpan w:val="2"/>
            <w:shd w:val="clear" w:color="auto" w:fill="4472C4"/>
          </w:tcPr>
          <w:p>
            <w:r>
              <w:t>RTN_BORRA_DS</w:t>
            </w:r>
          </w:p>
        </w:tc>
      </w:tr>
      <w:tr>
        <w:tc>
          <w:tcPr>
            <w:tcW w:type="dxa" w:w="2880"/>
          </w:tcPr>
          <w:p>
            <w:r>
              <w:t>Mapeo del parametro</w:t>
            </w:r>
          </w:p>
        </w:tc>
        <w:tc>
          <w:tcPr>
            <w:tcW w:type="dxa" w:w="5760"/>
            <w:gridSpan w:val="2"/>
          </w:tcPr>
          <w:p>
            <w:r>
              <w:t>BorradoDataSetsProyecto</w:t>
            </w:r>
          </w:p>
        </w:tc>
      </w:tr>
      <w:tr>
        <w:tc>
          <w:tcPr>
            <w:tcW w:type="dxa" w:w="2880"/>
          </w:tcPr>
          <w:p>
            <w:r>
              <w:t>Parametros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FileNameList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VAR_CTL_FTP.RUTA_SF_BORRADO</w:t>
            </w:r>
          </w:p>
        </w:tc>
      </w:tr>
      <w:tr>
        <w:tc>
          <w:tcPr>
            <w:tcW w:type="dxa" w:w="2880"/>
          </w:tcPr>
          <w:p>
            <w:r>
              <w:t>FilePath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</w:tbl>
    <w:p/>
    <w:p>
      <w:pPr>
        <w:pStyle w:val="Heading3"/>
      </w:pPr>
      <w:r>
        <w:t xml:space="preserve">Comandos: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t>Nombre</w:t>
            </w:r>
          </w:p>
        </w:tc>
        <w:tc>
          <w:tcPr>
            <w:tcW w:type="dxa" w:w="4320"/>
            <w:shd w:val="clear" w:color="auto" w:fill="4472C4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EC_BORRAR_DS2</w:t>
            </w:r>
          </w:p>
        </w:tc>
        <w:tc>
          <w:tcPr>
            <w:tcW w:type="dxa" w:w="4320"/>
          </w:tcPr>
          <w:p>
            <w:r>
              <w:t>echo "termino"</w:t>
            </w:r>
          </w:p>
        </w:tc>
      </w:tr>
      <w:tr>
        <w:tc>
          <w:tcPr>
            <w:tcW w:type="dxa" w:w="4320"/>
          </w:tcPr>
          <w:p>
            <w:r>
              <w:t>EXEC_REALIZA_GAW_FTP</w:t>
            </w:r>
          </w:p>
        </w:tc>
        <w:tc>
          <w:tcPr>
            <w:tcW w:type="dxa" w:w="4320"/>
          </w:tcPr>
          <w:p>
            <w:r>
              <w:t>lftp -c "set ftp:ssl-allow off; set ftp:use-feat false;  lftp sftp://#PSET_WSFTPGAW.$VAG_GAW_FTP_USER#:#PSET_WSFTPGAW.$VAG_GAW_FTP_PASS#@#PSET_WSFTPGAW.$VAG_GAW_FTP_SERVER#:#VAR_CTL_FTP.VAP_RUTA_FTP# ; put #VAR_CTL_FTP.VAP_RUTA_ETL##VAP_NOM_ARCHIVO#"</w:t>
            </w:r>
          </w:p>
        </w:tc>
      </w:tr>
      <w:tr>
        <w:tc>
          <w:tcPr>
            <w:tcW w:type="dxa" w:w="4320"/>
          </w:tcPr>
          <w:p>
            <w:r>
              <w:t>EXC_FTP</w:t>
            </w:r>
          </w:p>
        </w:tc>
        <w:tc>
          <w:tcPr>
            <w:tcW w:type="dxa" w:w="4320"/>
          </w:tcPr>
          <w:p>
            <w:r>
              <w:t>lftp -c "set ftp:ssl-allow off; set ftp:use-feat false; open -u #PSET_WSFTPGAW.$VAG_WSFTP_USER#,#PSET_WSFTPGAW.$VAG_WSFTP_PASS# #PSET_WSFTPGAW.$VAG_WSFTP_SERVER#; put -O #VAR_CTL_FTP.VAP_RUTA_FTP# #VAR_CTL_FTP.VAP_RUTA_ETL##VAP_NOM_ARCHIVO#"</w:t>
            </w:r>
          </w:p>
        </w:tc>
      </w:tr>
      <w:tr>
        <w:tc>
          <w:tcPr>
            <w:tcW w:type="dxa" w:w="4320"/>
          </w:tcPr>
          <w:p>
            <w:r>
              <w:t>Copy_of_EXEC_REALIZA_GAW_FTP</w:t>
            </w:r>
          </w:p>
        </w:tc>
        <w:tc>
          <w:tcPr>
            <w:tcW w:type="dxa" w:w="4320"/>
          </w:tcPr>
          <w:p>
            <w:r>
              <w:t>lftp -c "set ftp:ssl-allow off; set ftp:use-feat false;  lftp sftp://#PSET_WSFTPGAW.$VAG_GAW_FTP_USER#:#PSET_WSFTPGAW.$VAG_GAW_FTP_PASS#@#PSET_WSFTPGAW.$VAG_GAW_FTP_SERVER#:#VAR_CTL_FTP.VAP_RUTA_FTP# ; put #VAR_CTL_FTP.VAP_RUTA_ETL##VAP_NOM_ARCHIVO#"</w:t>
            </w:r>
          </w:p>
        </w:tc>
      </w:tr>
      <w:tr>
        <w:tc>
          <w:tcPr>
            <w:tcW w:type="dxa" w:w="4320"/>
          </w:tcPr>
          <w:p>
            <w:r>
              <w:t>Copy_of_EXC_FTP</w:t>
            </w:r>
          </w:p>
        </w:tc>
        <w:tc>
          <w:tcPr>
            <w:tcW w:type="dxa" w:w="4320"/>
          </w:tcPr>
          <w:p>
            <w:r>
              <w:t>lftp -c "set ftp:ssl-allow off; set ftp:use-feat false; open -u #PSET_WSFTPGAW.$VAG_WSFTP_USER#,#PSET_WSFTPGAW.$VAG_WSFTP_PASS# #PSET_WSFTPGAW.$VAG_WSFTP_SERVER#; put -O #VAR_CTL_FTP.VAP_RUTA_FTP# #VAR_CTL_FTP.VAP_RUTA_ETL##VAP_NOM_ARCHIVO#"</w:t>
            </w:r>
          </w:p>
        </w:tc>
      </w:tr>
    </w:tbl>
    <w:p/>
    <w:p>
      <w:pPr>
        <w:pStyle w:val="Heading3"/>
      </w:pPr>
      <w:r>
        <w:t xml:space="preserve">Secuencia de carga:  </w:t>
      </w:r>
    </w:p>
    <w:p>
      <w:pPr>
        <w:pStyle w:val="ListBullet"/>
      </w:pPr>
      <w:r>
        <w:t>SEQ_LOD_EXCEL_TRASN_ICBS</w:t>
      </w:r>
    </w:p>
    <w:p>
      <w:pPr>
        <w:pStyle w:val="ListBullet"/>
      </w:pPr>
      <w:r>
        <w:t>SEQ_LOD_SF_TRASN_ICBS</w:t>
      </w:r>
    </w:p>
    <w:p>
      <w:pPr>
        <w:pStyle w:val="Heading3"/>
      </w:pPr>
      <w:r>
        <w:t xml:space="preserve">Nombre archivo entrada: </w:t>
      </w:r>
    </w:p>
    <w:p>
      <w:pPr>
        <w:pStyle w:val="Heading3"/>
      </w:pPr>
      <w:r>
        <w:t xml:space="preserve">Nombre archivo salida: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eriferi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pPr>
            <w:jc w:val="center"/>
          </w:pPr>
          <w:r>
            <w:rPr>
              <w:b/>
            </w:rPr>
            <w:t>USO INTERNO</w:t>
            <w:br/>
          </w:r>
          <w:r>
            <w:t>Diseño Proceso ETL</w:t>
            <w:tab/>
            <w:tab/>
            <w:t>2025-07-31</w:t>
            <w:br/>
          </w:r>
          <w:r>
            <w:t>DOCUMENTO DISEÑO DETALLADO</w:t>
            <w:br/>
            <w:t>REQUERIMIENTO</w:t>
            <w:br/>
          </w:r>
        </w:p>
      </w:tc>
      <w:tc>
        <w:tcPr>
          <w:tcW w:type="dxa" w:w="31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anco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