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Actualización para Issue #31</w:t>
      </w:r>
    </w:p>
    <w:p>
      <w:pPr>
        <w:pStyle w:val="Heading1"/>
      </w:pPr>
      <w:r>
        <w:t>1. Cronograma con Fechas Reales (Para Sección 5.1)</w:t>
      </w:r>
    </w:p>
    <w:p>
      <w:r>
        <w:t>Reemplazar la tabla genérica de la sección 5.1 con esta (basada en el inicio de clases del 3 de agosto):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Semana</w:t>
            </w:r>
          </w:p>
        </w:tc>
        <w:tc>
          <w:tcPr>
            <w:tcW w:type="dxa" w:w="2880"/>
          </w:tcPr>
          <w:p>
            <w:r>
              <w:t>Fechas Reales</w:t>
            </w:r>
          </w:p>
        </w:tc>
        <w:tc>
          <w:tcPr>
            <w:tcW w:type="dxa" w:w="2880"/>
          </w:tcPr>
          <w:p>
            <w:r>
              <w:t>Actividades Sugeridas (Fase del Proyecto)</w:t>
            </w:r>
          </w:p>
        </w:tc>
      </w:tr>
      <w:tr>
        <w:tc>
          <w:tcPr>
            <w:tcW w:type="dxa" w:w="2880"/>
          </w:tcPr>
          <w:p>
            <w:r>
              <w:t>Semana 1</w:t>
            </w:r>
          </w:p>
        </w:tc>
        <w:tc>
          <w:tcPr>
            <w:tcW w:type="dxa" w:w="2880"/>
          </w:tcPr>
          <w:p>
            <w:r>
              <w:t>3 de agosto – 9 de agosto</w:t>
            </w:r>
          </w:p>
        </w:tc>
        <w:tc>
          <w:tcPr>
            <w:tcW w:type="dxa" w:w="2880"/>
          </w:tcPr>
          <w:p>
            <w:r>
              <w:t>Levantamiento de requerimientos y definición del proyecto.</w:t>
            </w:r>
          </w:p>
        </w:tc>
      </w:tr>
      <w:tr>
        <w:tc>
          <w:tcPr>
            <w:tcW w:type="dxa" w:w="2880"/>
          </w:tcPr>
          <w:p>
            <w:r>
              <w:t>Semana 2</w:t>
            </w:r>
          </w:p>
        </w:tc>
        <w:tc>
          <w:tcPr>
            <w:tcW w:type="dxa" w:w="2880"/>
          </w:tcPr>
          <w:p>
            <w:r>
              <w:t>10 de agosto – 16 de agosto</w:t>
            </w:r>
          </w:p>
        </w:tc>
        <w:tc>
          <w:tcPr>
            <w:tcW w:type="dxa" w:w="2880"/>
          </w:tcPr>
          <w:p>
            <w:r>
              <w:t>Diagnóstico de la empresa y estado del arte.</w:t>
            </w:r>
          </w:p>
        </w:tc>
      </w:tr>
      <w:tr>
        <w:tc>
          <w:tcPr>
            <w:tcW w:type="dxa" w:w="2880"/>
          </w:tcPr>
          <w:p>
            <w:r>
              <w:t>Semana 3</w:t>
            </w:r>
          </w:p>
        </w:tc>
        <w:tc>
          <w:tcPr>
            <w:tcW w:type="dxa" w:w="2880"/>
          </w:tcPr>
          <w:p>
            <w:r>
              <w:t>17 de agosto – 23 de agosto</w:t>
            </w:r>
          </w:p>
        </w:tc>
        <w:tc>
          <w:tcPr>
            <w:tcW w:type="dxa" w:w="2880"/>
          </w:tcPr>
          <w:p>
            <w:r>
              <w:t>Diseño de arquitectura y diagramas (MER, flujos).</w:t>
            </w:r>
          </w:p>
        </w:tc>
      </w:tr>
      <w:tr>
        <w:tc>
          <w:tcPr>
            <w:tcW w:type="dxa" w:w="2880"/>
          </w:tcPr>
          <w:p>
            <w:r>
              <w:t>Semana 4</w:t>
            </w:r>
          </w:p>
        </w:tc>
        <w:tc>
          <w:tcPr>
            <w:tcW w:type="dxa" w:w="2880"/>
          </w:tcPr>
          <w:p>
            <w:r>
              <w:t>24 de agosto – 30 de agosto</w:t>
            </w:r>
          </w:p>
        </w:tc>
        <w:tc>
          <w:tcPr>
            <w:tcW w:type="dxa" w:w="2880"/>
          </w:tcPr>
          <w:p>
            <w:r>
              <w:t>Configuración inicial del entorno y Docker (auth-proxy, inventory-service).</w:t>
            </w:r>
          </w:p>
        </w:tc>
      </w:tr>
      <w:tr>
        <w:tc>
          <w:tcPr>
            <w:tcW w:type="dxa" w:w="2880"/>
          </w:tcPr>
          <w:p>
            <w:r>
              <w:t>Semana 5</w:t>
            </w:r>
          </w:p>
        </w:tc>
        <w:tc>
          <w:tcPr>
            <w:tcW w:type="dxa" w:w="2880"/>
          </w:tcPr>
          <w:p>
            <w:r>
              <w:t>31 de agosto – 6 de septiembre</w:t>
            </w:r>
          </w:p>
        </w:tc>
        <w:tc>
          <w:tcPr>
            <w:tcW w:type="dxa" w:w="2880"/>
          </w:tcPr>
          <w:p>
            <w:r>
              <w:t>Implementación de Keycloak / Entra ID y pruebas de login.</w:t>
            </w:r>
          </w:p>
        </w:tc>
      </w:tr>
      <w:tr>
        <w:tc>
          <w:tcPr>
            <w:tcW w:type="dxa" w:w="2880"/>
          </w:tcPr>
          <w:p>
            <w:r>
              <w:t>Semana 6</w:t>
            </w:r>
          </w:p>
        </w:tc>
        <w:tc>
          <w:tcPr>
            <w:tcW w:type="dxa" w:w="2880"/>
          </w:tcPr>
          <w:p>
            <w:r>
              <w:t>7 de septiembre – 13 de septiembre</w:t>
            </w:r>
          </w:p>
        </w:tc>
        <w:tc>
          <w:tcPr>
            <w:tcW w:type="dxa" w:w="2880"/>
          </w:tcPr>
          <w:p>
            <w:r>
              <w:t>Integración del panel visual e inventario.</w:t>
            </w:r>
          </w:p>
        </w:tc>
      </w:tr>
      <w:tr>
        <w:tc>
          <w:tcPr>
            <w:tcW w:type="dxa" w:w="2880"/>
          </w:tcPr>
          <w:p>
            <w:r>
              <w:t>Semana 7</w:t>
            </w:r>
          </w:p>
        </w:tc>
        <w:tc>
          <w:tcPr>
            <w:tcW w:type="dxa" w:w="2880"/>
          </w:tcPr>
          <w:p>
            <w:r>
              <w:t>14 de septiembre – 20 de septiembre</w:t>
            </w:r>
          </w:p>
        </w:tc>
        <w:tc>
          <w:tcPr>
            <w:tcW w:type="dxa" w:w="2880"/>
          </w:tcPr>
          <w:p>
            <w:r>
              <w:t>Análisis de Calidad y Seguridad (SonarQube, OWASP ZAP).</w:t>
            </w:r>
          </w:p>
        </w:tc>
      </w:tr>
      <w:tr>
        <w:tc>
          <w:tcPr>
            <w:tcW w:type="dxa" w:w="2880"/>
          </w:tcPr>
          <w:p>
            <w:r>
              <w:t>Semana 8</w:t>
            </w:r>
          </w:p>
        </w:tc>
        <w:tc>
          <w:tcPr>
            <w:tcW w:type="dxa" w:w="2880"/>
          </w:tcPr>
          <w:p>
            <w:r>
              <w:t>21 de septiembre – 27 de septiembre</w:t>
            </w:r>
          </w:p>
        </w:tc>
        <w:tc>
          <w:tcPr>
            <w:tcW w:type="dxa" w:w="2880"/>
          </w:tcPr>
          <w:p>
            <w:r>
              <w:t>Ajustes finales, documentación y entrega del primer corte.</w:t>
            </w:r>
          </w:p>
        </w:tc>
      </w:tr>
    </w:tbl>
    <w:p/>
    <w:p>
      <w:pPr>
        <w:pStyle w:val="Heading1"/>
      </w:pPr>
      <w:r>
        <w:t>2. Nuevos Riesgos (Para Sección 5.2 - Matriz de Riesgos)</w:t>
      </w:r>
    </w:p>
    <w:p>
      <w:r>
        <w:t>Agregar estos riesgos a los ya existentes en la sección 5.2:</w:t>
      </w:r>
    </w:p>
    <w:p>
      <w:r>
        <w:rPr>
          <w:b/>
        </w:rPr>
        <w:t>Riesgo 4: Limitaciones de hardware con Docker</w:t>
      </w:r>
    </w:p>
    <w:p>
      <w:pPr>
        <w:pStyle w:val="ListBullet"/>
      </w:pPr>
      <w:r>
        <w:rPr>
          <w:b/>
        </w:rPr>
        <w:t xml:space="preserve">Probabilidad: </w:t>
      </w:r>
      <w:r>
        <w:t xml:space="preserve">Media | </w:t>
      </w:r>
      <w:r>
        <w:rPr>
          <w:b/>
        </w:rPr>
        <w:t xml:space="preserve">Impacto: </w:t>
      </w:r>
      <w:r>
        <w:t>Alto</w:t>
        <w:br/>
      </w:r>
      <w:r>
        <w:rPr>
          <w:b/>
        </w:rPr>
        <w:t xml:space="preserve">Descripción: </w:t>
      </w:r>
      <w:r>
        <w:t>Incompatibilidad o falta de recursos (RAM/CPU) para ejecutar múltiples contenedores de Docker en los equipos de desarrollo.</w:t>
        <w:br/>
      </w:r>
      <w:r>
        <w:rPr>
          <w:b/>
        </w:rPr>
        <w:t xml:space="preserve">Mitigación: </w:t>
      </w:r>
      <w:r>
        <w:t>Optimizar el docker-compose.yml para consumir menos recursos y asegurar requisitos mínimos de hardware.</w:t>
      </w:r>
    </w:p>
    <w:p>
      <w:r>
        <w:rPr>
          <w:b/>
        </w:rPr>
        <w:t>Riesgo 5: Conectividad con el tenant de Entra ID</w:t>
      </w:r>
    </w:p>
    <w:p>
      <w:pPr>
        <w:pStyle w:val="ListBullet"/>
      </w:pPr>
      <w:r>
        <w:rPr>
          <w:b/>
        </w:rPr>
        <w:t xml:space="preserve">Probabilidad: </w:t>
      </w:r>
      <w:r>
        <w:t xml:space="preserve">Alta | </w:t>
      </w:r>
      <w:r>
        <w:rPr>
          <w:b/>
        </w:rPr>
        <w:t xml:space="preserve">Impacto: </w:t>
      </w:r>
      <w:r>
        <w:t>Alto</w:t>
        <w:br/>
      </w:r>
      <w:r>
        <w:rPr>
          <w:b/>
        </w:rPr>
        <w:t xml:space="preserve">Descripción: </w:t>
      </w:r>
      <w:r>
        <w:t>Dificultades técnicas o de red al intentar sincronizar el tenant real de la empresa por políticas restrictivas de TI.</w:t>
        <w:br/>
      </w:r>
      <w:r>
        <w:rPr>
          <w:b/>
        </w:rPr>
        <w:t xml:space="preserve">Mitigación: </w:t>
      </w:r>
      <w:r>
        <w:t>Realizar pruebas de concepto (PoC) tempranas y solicitar permisos de administrador con anticipación.</w:t>
      </w:r>
    </w:p>
    <w:p>
      <w:r>
        <w:rPr>
          <w:b/>
        </w:rPr>
        <w:t>Riesgo 6: Curva de aprendizaje en SonarQube y ZAP</w:t>
      </w:r>
    </w:p>
    <w:p>
      <w:pPr>
        <w:pStyle w:val="ListBullet"/>
      </w:pPr>
      <w:r>
        <w:rPr>
          <w:b/>
        </w:rPr>
        <w:t xml:space="preserve">Probabilidad: </w:t>
      </w:r>
      <w:r>
        <w:t xml:space="preserve">Media | </w:t>
      </w:r>
      <w:r>
        <w:rPr>
          <w:b/>
        </w:rPr>
        <w:t xml:space="preserve">Impacto: </w:t>
      </w:r>
      <w:r>
        <w:t>Medio</w:t>
        <w:br/>
      </w:r>
      <w:r>
        <w:rPr>
          <w:b/>
        </w:rPr>
        <w:t xml:space="preserve">Descripción: </w:t>
      </w:r>
      <w:r>
        <w:t>Retrasos en las tareas de evaluación de calidad debido a falta de experiencia previa con estas herramientas.</w:t>
        <w:br/>
      </w:r>
      <w:r>
        <w:rPr>
          <w:b/>
        </w:rPr>
        <w:t xml:space="preserve">Mitigación: </w:t>
      </w:r>
      <w:r>
        <w:t>Reservar tiempo adicional en el sprint para investigación técnica y revisión de la documentación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