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>Зачислить средства на счет№ 12345 в Государственной корпорации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>“Иокогава Электрик СНГ” (счет№ N/N*</w:t>
      </w:r>
      <w:r w:rsidDel="00000000" w:rsidR="00000000" w:rsidRPr="00000000">
        <w:rPr>
          <w:rtl w:val="0"/>
        </w:rPr>
        <w:t xml:space="preserve">_ указать наименование ликвидируемой финансовой организации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530"/>
        <w:gridCol w:w="1170"/>
        <w:gridCol w:w="1245"/>
        <w:gridCol w:w="2220"/>
        <w:gridCol w:w="1230"/>
        <w:gridCol w:w="795"/>
        <w:tblGridChange w:id="0">
          <w:tblGrid>
            <w:gridCol w:w="540"/>
            <w:gridCol w:w="1530"/>
            <w:gridCol w:w="1170"/>
            <w:gridCol w:w="1245"/>
            <w:gridCol w:w="2220"/>
            <w:gridCol w:w="1230"/>
            <w:gridCol w:w="795"/>
          </w:tblGrid>
        </w:tblGridChange>
      </w:tblGrid>
      <w:tr>
        <w:trPr>
          <w:cantSplit w:val="0"/>
          <w:trHeight w:val="764.941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Победитель (наименование, ФИО)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Назначение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(руб.)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20/02/2024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Djon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150000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27/01/2024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Нelen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110000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01/02/2023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100000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Итого: 360000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393.70078740157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C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