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48737805"/>
        <w:docPartObj>
          <w:docPartGallery w:val="Cover Pages"/>
          <w:docPartUnique/>
        </w:docPartObj>
      </w:sdtPr>
      <w:sdtEndPr>
        <w:rPr>
          <w:rFonts w:eastAsiaTheme="minorHAnsi"/>
          <w:sz w:val="22"/>
          <w:lang w:eastAsia="en-US"/>
        </w:rPr>
      </w:sdtEndPr>
      <w:sdtContent>
        <w:p w:rsidR="004C326B" w:rsidRDefault="004C326B">
          <w:pPr>
            <w:pStyle w:val="Sinespaciado"/>
            <w:rPr>
              <w:sz w:val="2"/>
            </w:rPr>
          </w:pPr>
        </w:p>
        <w:p w:rsidR="004C326B" w:rsidRDefault="004C326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C326B" w:rsidRDefault="004C326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Organización y estructura vhdl</w:t>
                                    </w:r>
                                  </w:p>
                                </w:sdtContent>
                              </w:sdt>
                              <w:p w:rsidR="004C326B" w:rsidRDefault="004C326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15DE0">
                                      <w:rPr>
                                        <w:color w:val="5B9BD5" w:themeColor="accent1"/>
                                        <w:sz w:val="36"/>
                                        <w:szCs w:val="36"/>
                                      </w:rPr>
                                      <w:t>Carlos Enrique Moran Garabito</w:t>
                                    </w:r>
                                  </w:sdtContent>
                                </w:sdt>
                                <w:r>
                                  <w:rPr>
                                    <w:lang w:val="es-ES"/>
                                  </w:rPr>
                                  <w:t xml:space="preserve"> </w:t>
                                </w:r>
                              </w:p>
                              <w:p w:rsidR="004C326B" w:rsidRDefault="004C3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C326B" w:rsidRDefault="004C326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Organización y estructura vhdl</w:t>
                              </w:r>
                            </w:p>
                          </w:sdtContent>
                        </w:sdt>
                        <w:p w:rsidR="004C326B" w:rsidRDefault="004C326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15DE0">
                                <w:rPr>
                                  <w:color w:val="5B9BD5" w:themeColor="accent1"/>
                                  <w:sz w:val="36"/>
                                  <w:szCs w:val="36"/>
                                </w:rPr>
                                <w:t>Carlos Enrique Moran Garabito</w:t>
                              </w:r>
                            </w:sdtContent>
                          </w:sdt>
                          <w:r>
                            <w:rPr>
                              <w:lang w:val="es-ES"/>
                            </w:rPr>
                            <w:t xml:space="preserve"> </w:t>
                          </w:r>
                        </w:p>
                        <w:p w:rsidR="004C326B" w:rsidRDefault="004C326B"/>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4237E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26B" w:rsidRDefault="004C326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15DE0">
                                      <w:rPr>
                                        <w:color w:val="5B9BD5" w:themeColor="accent1"/>
                                        <w:sz w:val="36"/>
                                        <w:szCs w:val="36"/>
                                      </w:rPr>
                                      <w:t>Isidoro Eduard Pérez Solorio</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4C326B" w:rsidRDefault="00C15DE0">
                                    <w:pPr>
                                      <w:pStyle w:val="Sinespaciado"/>
                                      <w:jc w:val="right"/>
                                      <w:rPr>
                                        <w:color w:val="5B9BD5" w:themeColor="accent1"/>
                                        <w:sz w:val="36"/>
                                        <w:szCs w:val="36"/>
                                      </w:rPr>
                                    </w:pPr>
                                    <w:r>
                                      <w:rPr>
                                        <w:color w:val="5B9BD5" w:themeColor="accent1"/>
                                        <w:sz w:val="36"/>
                                        <w:szCs w:val="36"/>
                                      </w:rPr>
                                      <w:t>Ing. Mecatrónica 8vo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4C326B" w:rsidRDefault="004C326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15DE0">
                                <w:rPr>
                                  <w:color w:val="5B9BD5" w:themeColor="accent1"/>
                                  <w:sz w:val="36"/>
                                  <w:szCs w:val="36"/>
                                </w:rPr>
                                <w:t>Isidoro Eduard Pérez Solorio</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4C326B" w:rsidRDefault="00C15DE0">
                              <w:pPr>
                                <w:pStyle w:val="Sinespaciado"/>
                                <w:jc w:val="right"/>
                                <w:rPr>
                                  <w:color w:val="5B9BD5" w:themeColor="accent1"/>
                                  <w:sz w:val="36"/>
                                  <w:szCs w:val="36"/>
                                </w:rPr>
                              </w:pPr>
                              <w:r>
                                <w:rPr>
                                  <w:color w:val="5B9BD5" w:themeColor="accent1"/>
                                  <w:sz w:val="36"/>
                                  <w:szCs w:val="36"/>
                                </w:rPr>
                                <w:t>Ing. Mecatrónica 8vo</w:t>
                              </w:r>
                            </w:p>
                          </w:sdtContent>
                        </w:sdt>
                      </w:txbxContent>
                    </v:textbox>
                    <w10:wrap anchorx="page" anchory="margin"/>
                  </v:shape>
                </w:pict>
              </mc:Fallback>
            </mc:AlternateContent>
          </w:r>
        </w:p>
        <w:p w:rsidR="004C326B" w:rsidRDefault="004C326B">
          <w:r>
            <w:br w:type="page"/>
          </w:r>
        </w:p>
      </w:sdtContent>
    </w:sdt>
    <w:p w:rsidR="00862B8A" w:rsidRPr="00B705B8" w:rsidRDefault="00B705B8">
      <w:pPr>
        <w:rPr>
          <w:rFonts w:ascii="Times New Roman" w:hAnsi="Times New Roman" w:cs="Times New Roman"/>
          <w:i/>
          <w:sz w:val="28"/>
          <w:u w:val="single"/>
        </w:rPr>
      </w:pPr>
      <w:r w:rsidRPr="00B705B8">
        <w:rPr>
          <w:rFonts w:ascii="Times New Roman" w:hAnsi="Times New Roman" w:cs="Times New Roman"/>
          <w:i/>
          <w:sz w:val="28"/>
          <w:u w:val="single"/>
        </w:rPr>
        <w:lastRenderedPageBreak/>
        <w:t>¿Qué es la programación VHDL?</w:t>
      </w:r>
    </w:p>
    <w:p w:rsidR="00B705B8" w:rsidRPr="004625C7" w:rsidRDefault="00B705B8" w:rsidP="004625C7">
      <w:pPr>
        <w:spacing w:line="360" w:lineRule="auto"/>
        <w:jc w:val="both"/>
        <w:rPr>
          <w:rFonts w:ascii="Arial" w:hAnsi="Arial" w:cs="Arial"/>
          <w:sz w:val="24"/>
          <w:szCs w:val="24"/>
        </w:rPr>
      </w:pPr>
      <w:r w:rsidRPr="004625C7">
        <w:rPr>
          <w:rFonts w:ascii="Arial" w:hAnsi="Arial" w:cs="Arial"/>
          <w:sz w:val="24"/>
          <w:szCs w:val="24"/>
        </w:rPr>
        <w:t>VHDL es un lenguaje de especificación definido por el IEEE (</w:t>
      </w:r>
      <w:proofErr w:type="spellStart"/>
      <w:r w:rsidRPr="004625C7">
        <w:rPr>
          <w:rFonts w:ascii="Arial" w:hAnsi="Arial" w:cs="Arial"/>
          <w:sz w:val="24"/>
          <w:szCs w:val="24"/>
        </w:rPr>
        <w:t>Institute</w:t>
      </w:r>
      <w:proofErr w:type="spellEnd"/>
      <w:r w:rsidRPr="004625C7">
        <w:rPr>
          <w:rFonts w:ascii="Arial" w:hAnsi="Arial" w:cs="Arial"/>
          <w:sz w:val="24"/>
          <w:szCs w:val="24"/>
        </w:rPr>
        <w:t xml:space="preserve"> of </w:t>
      </w:r>
      <w:proofErr w:type="spellStart"/>
      <w:r w:rsidRPr="004625C7">
        <w:rPr>
          <w:rFonts w:ascii="Arial" w:hAnsi="Arial" w:cs="Arial"/>
          <w:sz w:val="24"/>
          <w:szCs w:val="24"/>
        </w:rPr>
        <w:t>Electrical</w:t>
      </w:r>
      <w:proofErr w:type="spellEnd"/>
      <w:r w:rsidRPr="004625C7">
        <w:rPr>
          <w:rFonts w:ascii="Arial" w:hAnsi="Arial" w:cs="Arial"/>
          <w:sz w:val="24"/>
          <w:szCs w:val="24"/>
        </w:rPr>
        <w:t xml:space="preserve"> and </w:t>
      </w:r>
      <w:proofErr w:type="spellStart"/>
      <w:r w:rsidRPr="004625C7">
        <w:rPr>
          <w:rFonts w:ascii="Arial" w:hAnsi="Arial" w:cs="Arial"/>
          <w:sz w:val="24"/>
          <w:szCs w:val="24"/>
        </w:rPr>
        <w:t>Electronics</w:t>
      </w:r>
      <w:proofErr w:type="spellEnd"/>
      <w:r w:rsidRPr="004625C7">
        <w:rPr>
          <w:rFonts w:ascii="Arial" w:hAnsi="Arial" w:cs="Arial"/>
          <w:sz w:val="24"/>
          <w:szCs w:val="24"/>
        </w:rPr>
        <w:t xml:space="preserve"> </w:t>
      </w:r>
      <w:proofErr w:type="spellStart"/>
      <w:r w:rsidRPr="004625C7">
        <w:rPr>
          <w:rFonts w:ascii="Arial" w:hAnsi="Arial" w:cs="Arial"/>
          <w:sz w:val="24"/>
          <w:szCs w:val="24"/>
        </w:rPr>
        <w:t>Engineers</w:t>
      </w:r>
      <w:proofErr w:type="spellEnd"/>
      <w:r w:rsidRPr="004625C7">
        <w:rPr>
          <w:rFonts w:ascii="Arial" w:hAnsi="Arial" w:cs="Arial"/>
          <w:sz w:val="24"/>
          <w:szCs w:val="24"/>
        </w:rPr>
        <w:t>) (ANSI/IEEE 1076-1993) utilizado para describir circuitos digitales y para la automatización de diseño electrónico.</w:t>
      </w:r>
    </w:p>
    <w:p w:rsidR="00B705B8" w:rsidRPr="004625C7" w:rsidRDefault="00B705B8" w:rsidP="004625C7">
      <w:pPr>
        <w:spacing w:line="360" w:lineRule="auto"/>
        <w:jc w:val="both"/>
        <w:rPr>
          <w:rFonts w:ascii="Arial" w:hAnsi="Arial" w:cs="Arial"/>
          <w:sz w:val="24"/>
          <w:szCs w:val="24"/>
        </w:rPr>
      </w:pPr>
      <w:r w:rsidRPr="004625C7">
        <w:rPr>
          <w:rFonts w:ascii="Arial" w:hAnsi="Arial" w:cs="Arial"/>
          <w:sz w:val="24"/>
          <w:szCs w:val="24"/>
        </w:rPr>
        <w:t>Originalmente, el lenguaje VHDL fue desarrollado por el departamento de defensa de los Estados Unidos a inicios de los años 80 basado en el lenguaje de programación ADA con el fin de simular circuitos eléctricos digitales. Posteriormente se desarrollaron herramientas de síntesis e implementación en hardwar</w:t>
      </w:r>
      <w:r w:rsidRPr="004625C7">
        <w:rPr>
          <w:rFonts w:ascii="Arial" w:hAnsi="Arial" w:cs="Arial"/>
          <w:sz w:val="24"/>
          <w:szCs w:val="24"/>
        </w:rPr>
        <w:t>e a partir de los archivos VHD.</w:t>
      </w:r>
    </w:p>
    <w:p w:rsidR="004625C7" w:rsidRPr="004625C7" w:rsidRDefault="00B705B8" w:rsidP="004625C7">
      <w:pPr>
        <w:spacing w:line="360" w:lineRule="auto"/>
        <w:jc w:val="both"/>
        <w:rPr>
          <w:rFonts w:ascii="Arial" w:hAnsi="Arial" w:cs="Arial"/>
          <w:sz w:val="24"/>
          <w:szCs w:val="24"/>
        </w:rPr>
      </w:pPr>
      <w:r w:rsidRPr="004625C7">
        <w:rPr>
          <w:rFonts w:ascii="Arial" w:hAnsi="Arial" w:cs="Arial"/>
          <w:sz w:val="24"/>
          <w:szCs w:val="24"/>
        </w:rPr>
        <w:t>Otros métodos para diseñar circuitos son la captura de esquemas (con herramientas CAD) y los diagramas de bloques, pero estos no son prácticos en diseños complejos.</w:t>
      </w:r>
    </w:p>
    <w:p w:rsidR="004625C7" w:rsidRPr="004625C7" w:rsidRDefault="004625C7" w:rsidP="004625C7">
      <w:pPr>
        <w:spacing w:line="360" w:lineRule="auto"/>
        <w:jc w:val="both"/>
        <w:rPr>
          <w:rFonts w:ascii="Arial" w:hAnsi="Arial" w:cs="Arial"/>
          <w:sz w:val="24"/>
          <w:szCs w:val="24"/>
        </w:rPr>
      </w:pPr>
      <w:r w:rsidRPr="004625C7">
        <w:rPr>
          <w:rFonts w:ascii="Arial" w:hAnsi="Arial" w:cs="Arial"/>
          <w:sz w:val="24"/>
          <w:szCs w:val="24"/>
        </w:rPr>
        <w:t>Tipos de VHDL</w:t>
      </w:r>
    </w:p>
    <w:p w:rsidR="004625C7" w:rsidRPr="004625C7" w:rsidRDefault="004625C7" w:rsidP="004625C7">
      <w:pPr>
        <w:spacing w:line="360" w:lineRule="auto"/>
        <w:jc w:val="both"/>
        <w:rPr>
          <w:rFonts w:ascii="Arial" w:hAnsi="Arial" w:cs="Arial"/>
          <w:sz w:val="24"/>
          <w:szCs w:val="24"/>
        </w:rPr>
      </w:pPr>
      <w:r w:rsidRPr="004625C7">
        <w:rPr>
          <w:rFonts w:ascii="Arial" w:hAnsi="Arial" w:cs="Arial"/>
          <w:sz w:val="24"/>
          <w:szCs w:val="24"/>
        </w:rPr>
        <w:t>Dentro del VHDL hay varias formas con las que se puede diseñar el mismo circuito y es tarea del dis</w:t>
      </w:r>
      <w:r w:rsidRPr="004625C7">
        <w:rPr>
          <w:rFonts w:ascii="Arial" w:hAnsi="Arial" w:cs="Arial"/>
          <w:sz w:val="24"/>
          <w:szCs w:val="24"/>
        </w:rPr>
        <w:t>eñador elegir la más apropiada.</w:t>
      </w:r>
    </w:p>
    <w:p w:rsidR="004625C7" w:rsidRPr="004625C7" w:rsidRDefault="004625C7" w:rsidP="004625C7">
      <w:pPr>
        <w:spacing w:line="360" w:lineRule="auto"/>
        <w:jc w:val="both"/>
        <w:rPr>
          <w:rFonts w:ascii="Arial" w:hAnsi="Arial" w:cs="Arial"/>
          <w:sz w:val="24"/>
          <w:szCs w:val="24"/>
        </w:rPr>
      </w:pPr>
      <w:r w:rsidRPr="004625C7">
        <w:rPr>
          <w:rFonts w:ascii="Arial" w:hAnsi="Arial" w:cs="Arial"/>
          <w:b/>
          <w:sz w:val="24"/>
          <w:szCs w:val="24"/>
        </w:rPr>
        <w:t>Funcional o Comportamental:</w:t>
      </w:r>
      <w:r w:rsidRPr="004625C7">
        <w:rPr>
          <w:rFonts w:ascii="Arial" w:hAnsi="Arial" w:cs="Arial"/>
          <w:sz w:val="24"/>
          <w:szCs w:val="24"/>
        </w:rPr>
        <w:t xml:space="preserve"> Se describe la forma en que se comporta el circuito digital, se tiene en cuenta solo las características del circuito respecto al comportamiento de las entradas y las salidas. Esta es la forma que más se parece a los lenguajes de software ya que la descripción puede ser secuencial, además de combinar características concurrentes. Estas sentencias secuenciales se encuentran dentro de los llamados procesos en VHDL. Los procesos son ejecutados en paralelo entre sí, y en paralelo con asignaciones concurrentes de señales y con las instancias a otros componentes.</w:t>
      </w:r>
    </w:p>
    <w:p w:rsidR="004625C7" w:rsidRPr="004625C7" w:rsidRDefault="004625C7" w:rsidP="004625C7">
      <w:pPr>
        <w:spacing w:line="360" w:lineRule="auto"/>
        <w:jc w:val="both"/>
        <w:rPr>
          <w:rFonts w:ascii="Arial" w:hAnsi="Arial" w:cs="Arial"/>
          <w:sz w:val="24"/>
          <w:szCs w:val="24"/>
        </w:rPr>
      </w:pPr>
      <w:r w:rsidRPr="004625C7">
        <w:rPr>
          <w:rFonts w:ascii="Arial" w:hAnsi="Arial" w:cs="Arial"/>
          <w:b/>
          <w:sz w:val="24"/>
          <w:szCs w:val="24"/>
        </w:rPr>
        <w:t>Flujo de datos:</w:t>
      </w:r>
      <w:r w:rsidRPr="004625C7">
        <w:rPr>
          <w:rFonts w:ascii="Arial" w:hAnsi="Arial" w:cs="Arial"/>
          <w:sz w:val="24"/>
          <w:szCs w:val="24"/>
        </w:rPr>
        <w:t xml:space="preserve"> Se describen asignaciones concurrentes (en paralelo) de señales.</w:t>
      </w:r>
    </w:p>
    <w:p w:rsidR="004625C7" w:rsidRPr="004625C7" w:rsidRDefault="004625C7" w:rsidP="004625C7">
      <w:pPr>
        <w:spacing w:line="360" w:lineRule="auto"/>
        <w:jc w:val="both"/>
        <w:rPr>
          <w:rFonts w:ascii="Arial" w:hAnsi="Arial" w:cs="Arial"/>
          <w:sz w:val="24"/>
          <w:szCs w:val="24"/>
        </w:rPr>
      </w:pPr>
      <w:r w:rsidRPr="004625C7">
        <w:rPr>
          <w:rFonts w:ascii="Arial" w:hAnsi="Arial" w:cs="Arial"/>
          <w:b/>
          <w:sz w:val="24"/>
          <w:szCs w:val="24"/>
        </w:rPr>
        <w:t>Estructural:</w:t>
      </w:r>
      <w:r w:rsidRPr="004625C7">
        <w:rPr>
          <w:rFonts w:ascii="Arial" w:hAnsi="Arial" w:cs="Arial"/>
          <w:sz w:val="24"/>
          <w:szCs w:val="24"/>
        </w:rPr>
        <w:t xml:space="preserve"> Se describe el circuito con instancias de componentes. Estas instancias forman un diseño de jerarquía superior, al conectar los puertos de estas instancias con las señales internas del circuito, o con puertos del circuito de </w:t>
      </w:r>
      <w:r w:rsidRPr="004625C7">
        <w:rPr>
          <w:rFonts w:ascii="Arial" w:hAnsi="Arial" w:cs="Arial"/>
          <w:sz w:val="24"/>
          <w:szCs w:val="24"/>
        </w:rPr>
        <w:lastRenderedPageBreak/>
        <w:t>jerarquía superior. Es la recomendada cuando el diseño digital se vuelve complejo o está conformado por múltiples bloques de hardware.</w:t>
      </w:r>
    </w:p>
    <w:p w:rsidR="004625C7" w:rsidRPr="004625C7" w:rsidRDefault="004625C7" w:rsidP="004625C7">
      <w:pPr>
        <w:spacing w:line="360" w:lineRule="auto"/>
        <w:jc w:val="both"/>
        <w:rPr>
          <w:rFonts w:ascii="Arial" w:hAnsi="Arial" w:cs="Arial"/>
          <w:sz w:val="24"/>
          <w:szCs w:val="24"/>
        </w:rPr>
      </w:pPr>
      <w:r w:rsidRPr="004625C7">
        <w:rPr>
          <w:rFonts w:ascii="Arial" w:hAnsi="Arial" w:cs="Arial"/>
          <w:b/>
          <w:sz w:val="24"/>
          <w:szCs w:val="24"/>
        </w:rPr>
        <w:t>Mixta:</w:t>
      </w:r>
      <w:r w:rsidRPr="004625C7">
        <w:rPr>
          <w:rFonts w:ascii="Arial" w:hAnsi="Arial" w:cs="Arial"/>
          <w:sz w:val="24"/>
          <w:szCs w:val="24"/>
        </w:rPr>
        <w:t xml:space="preserve"> combinación de todas o algunas de las anteriores.</w:t>
      </w:r>
    </w:p>
    <w:p w:rsidR="004625C7" w:rsidRDefault="004625C7" w:rsidP="004625C7">
      <w:pPr>
        <w:spacing w:line="360" w:lineRule="auto"/>
        <w:jc w:val="both"/>
        <w:rPr>
          <w:rFonts w:ascii="Arial" w:hAnsi="Arial" w:cs="Arial"/>
          <w:sz w:val="24"/>
          <w:szCs w:val="24"/>
        </w:rPr>
      </w:pPr>
      <w:r w:rsidRPr="004625C7">
        <w:rPr>
          <w:rFonts w:ascii="Arial" w:hAnsi="Arial" w:cs="Arial"/>
          <w:sz w:val="24"/>
          <w:szCs w:val="24"/>
        </w:rPr>
        <w:t>En VHDL también existen formas metódicas para el diseño de máquinas de estados, filtros digitales, bancos de pruebas</w:t>
      </w:r>
      <w:r>
        <w:rPr>
          <w:rFonts w:ascii="Arial" w:hAnsi="Arial" w:cs="Arial"/>
          <w:sz w:val="24"/>
          <w:szCs w:val="24"/>
        </w:rPr>
        <w:t>.</w:t>
      </w:r>
    </w:p>
    <w:p w:rsidR="0083108F" w:rsidRDefault="0083108F" w:rsidP="004625C7">
      <w:pPr>
        <w:spacing w:line="360" w:lineRule="auto"/>
        <w:jc w:val="both"/>
        <w:rPr>
          <w:rFonts w:ascii="Arial" w:hAnsi="Arial" w:cs="Arial"/>
          <w:sz w:val="24"/>
          <w:szCs w:val="24"/>
        </w:rPr>
      </w:pPr>
      <w:r>
        <w:rPr>
          <w:noProof/>
          <w:lang w:eastAsia="es-MX"/>
        </w:rPr>
        <w:drawing>
          <wp:inline distT="0" distB="0" distL="0" distR="0">
            <wp:extent cx="5612020" cy="3724275"/>
            <wp:effectExtent l="0" t="0" r="8255" b="0"/>
            <wp:docPr id="1" name="Imagen 1" descr="VHDL stock de ilustración. Ilustración de rinda, lenguaje - 7967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HDL stock de ilustración. Ilustración de rinda, lenguaje - 79670927"/>
                    <pic:cNvPicPr>
                      <a:picLocks noChangeAspect="1" noChangeArrowheads="1"/>
                    </pic:cNvPicPr>
                  </pic:nvPicPr>
                  <pic:blipFill rotWithShape="1">
                    <a:blip r:embed="rId5">
                      <a:extLst>
                        <a:ext uri="{28A0092B-C50C-407E-A947-70E740481C1C}">
                          <a14:useLocalDpi xmlns:a14="http://schemas.microsoft.com/office/drawing/2010/main" val="0"/>
                        </a:ext>
                      </a:extLst>
                    </a:blip>
                    <a:srcRect b="9853"/>
                    <a:stretch/>
                  </pic:blipFill>
                  <pic:spPr bwMode="auto">
                    <a:xfrm>
                      <a:off x="0" y="0"/>
                      <a:ext cx="5612130" cy="3724348"/>
                    </a:xfrm>
                    <a:prstGeom prst="rect">
                      <a:avLst/>
                    </a:prstGeom>
                    <a:noFill/>
                    <a:ln>
                      <a:noFill/>
                    </a:ln>
                    <a:extLst>
                      <a:ext uri="{53640926-AAD7-44D8-BBD7-CCE9431645EC}">
                        <a14:shadowObscured xmlns:a14="http://schemas.microsoft.com/office/drawing/2010/main"/>
                      </a:ext>
                    </a:extLst>
                  </pic:spPr>
                </pic:pic>
              </a:graphicData>
            </a:graphic>
          </wp:inline>
        </w:drawing>
      </w:r>
    </w:p>
    <w:p w:rsidR="004625C7" w:rsidRPr="00E64CE5" w:rsidRDefault="00E64CE5" w:rsidP="004625C7">
      <w:pPr>
        <w:spacing w:line="360" w:lineRule="auto"/>
        <w:jc w:val="both"/>
        <w:rPr>
          <w:rFonts w:ascii="Times New Roman" w:hAnsi="Times New Roman" w:cs="Times New Roman"/>
          <w:i/>
          <w:sz w:val="32"/>
          <w:szCs w:val="24"/>
          <w:u w:val="single"/>
        </w:rPr>
      </w:pPr>
      <w:r w:rsidRPr="00E64CE5">
        <w:rPr>
          <w:rFonts w:ascii="Times New Roman" w:hAnsi="Times New Roman" w:cs="Times New Roman"/>
          <w:i/>
          <w:sz w:val="32"/>
          <w:szCs w:val="24"/>
          <w:u w:val="single"/>
        </w:rPr>
        <w:t>Estructura de VHDL</w:t>
      </w:r>
    </w:p>
    <w:p w:rsidR="00E64CE5" w:rsidRDefault="00E64CE5" w:rsidP="004625C7">
      <w:pPr>
        <w:spacing w:line="360" w:lineRule="auto"/>
        <w:jc w:val="both"/>
        <w:rPr>
          <w:rFonts w:ascii="Arial" w:hAnsi="Arial" w:cs="Arial"/>
          <w:sz w:val="24"/>
          <w:szCs w:val="24"/>
        </w:rPr>
      </w:pPr>
      <w:r w:rsidRPr="00E64CE5">
        <w:rPr>
          <w:rFonts w:ascii="Arial" w:hAnsi="Arial" w:cs="Arial"/>
          <w:sz w:val="24"/>
          <w:szCs w:val="24"/>
        </w:rPr>
        <w:t xml:space="preserve">VHDL fue diseñado con base a los principios de la programación estructurada. La idea es definir la interfaz de un módulo de hardware mientras deja invisible sus detalles internos. La entidad (ENTITY) en VHDL es simplemente la declaración de las entradas y salidas de un módulo mientras que la arquitectura (ARCHITECTURE) es la descripción detallada de la estructura interna del módulo o de su comportamiento. En la siguiente figura se ilustra el concepto anterior. Muchos diseñadores conciben la </w:t>
      </w:r>
      <w:proofErr w:type="spellStart"/>
      <w:r w:rsidRPr="00E64CE5">
        <w:rPr>
          <w:rFonts w:ascii="Arial" w:hAnsi="Arial" w:cs="Arial"/>
          <w:sz w:val="24"/>
          <w:szCs w:val="24"/>
        </w:rPr>
        <w:t>Entity</w:t>
      </w:r>
      <w:proofErr w:type="spellEnd"/>
      <w:r w:rsidRPr="00E64CE5">
        <w:rPr>
          <w:rFonts w:ascii="Arial" w:hAnsi="Arial" w:cs="Arial"/>
          <w:sz w:val="24"/>
          <w:szCs w:val="24"/>
        </w:rPr>
        <w:t xml:space="preserve"> como una funda de la arquitectura dejando invisible los detalles de lo que hay dentro (</w:t>
      </w:r>
      <w:proofErr w:type="spellStart"/>
      <w:r w:rsidRPr="00E64CE5">
        <w:rPr>
          <w:rFonts w:ascii="Arial" w:hAnsi="Arial" w:cs="Arial"/>
          <w:sz w:val="24"/>
          <w:szCs w:val="24"/>
        </w:rPr>
        <w:t>architecture</w:t>
      </w:r>
      <w:proofErr w:type="spellEnd"/>
      <w:r w:rsidRPr="00E64CE5">
        <w:rPr>
          <w:rFonts w:ascii="Arial" w:hAnsi="Arial" w:cs="Arial"/>
          <w:sz w:val="24"/>
          <w:szCs w:val="24"/>
        </w:rPr>
        <w:t xml:space="preserve">). Esto forma la base de un sistema </w:t>
      </w:r>
      <w:r w:rsidRPr="00E64CE5">
        <w:rPr>
          <w:rFonts w:ascii="Arial" w:hAnsi="Arial" w:cs="Arial"/>
          <w:sz w:val="24"/>
          <w:szCs w:val="24"/>
        </w:rPr>
        <w:lastRenderedPageBreak/>
        <w:t xml:space="preserve">de diseño jerárquico, la arquitectura de la entidad de más nivel (top </w:t>
      </w:r>
      <w:proofErr w:type="spellStart"/>
      <w:r w:rsidRPr="00E64CE5">
        <w:rPr>
          <w:rFonts w:ascii="Arial" w:hAnsi="Arial" w:cs="Arial"/>
          <w:sz w:val="24"/>
          <w:szCs w:val="24"/>
        </w:rPr>
        <w:t>level</w:t>
      </w:r>
      <w:proofErr w:type="spellEnd"/>
      <w:r w:rsidRPr="00E64CE5">
        <w:rPr>
          <w:rFonts w:ascii="Arial" w:hAnsi="Arial" w:cs="Arial"/>
          <w:sz w:val="24"/>
          <w:szCs w:val="24"/>
        </w:rPr>
        <w:t xml:space="preserve">) puede usar otras entidades, dejando invisible los detalles de la arquitectura de la identidad de menos nivel. En la figura las entidades B, E y F no utilizan otras entidades. Mientras que la entidad A utiliza todas las demás. A la pareja entidad-arquitectura se la llama modelo. En un fichero texto VHDL la entidad y la arquitectura se escriben separadas, por ejemplo a continuación se muestra un programa muy simple en VHDL de una compuerta de 2 entradas. Como otros programas, VHDL ignora los espacios y saltos de líneas. Los comentarios se escriben con 2 guiones (--) y terminan al final de la línea. En la figura siguiente se muestra la estructura de un modelo en VHDL. </w:t>
      </w:r>
    </w:p>
    <w:p w:rsidR="004625C7" w:rsidRDefault="00E64CE5" w:rsidP="004625C7">
      <w:pPr>
        <w:spacing w:line="360" w:lineRule="auto"/>
        <w:jc w:val="both"/>
        <w:rPr>
          <w:rFonts w:ascii="Arial" w:hAnsi="Arial" w:cs="Arial"/>
          <w:sz w:val="24"/>
          <w:szCs w:val="24"/>
        </w:rPr>
      </w:pPr>
      <w:r w:rsidRPr="00E64CE5">
        <w:rPr>
          <w:rFonts w:ascii="Arial" w:hAnsi="Arial" w:cs="Arial"/>
          <w:sz w:val="24"/>
          <w:szCs w:val="24"/>
        </w:rPr>
        <w:t>Define muchos caracteres especiales llamados “palabras reservadas”. Aunque las palabras reservadas no son sensibles a las mayúsculas o minúsculas, en el ejemplo que sigue las utilizaremos en mayúsculas y negrita para identificarlas.</w:t>
      </w:r>
    </w:p>
    <w:p w:rsidR="0083108F" w:rsidRDefault="0083108F">
      <w:pPr>
        <w:rPr>
          <w:rFonts w:ascii="Arial" w:hAnsi="Arial" w:cs="Arial"/>
          <w:sz w:val="24"/>
          <w:szCs w:val="24"/>
        </w:rPr>
      </w:pPr>
      <w:r>
        <w:rPr>
          <w:rFonts w:ascii="Arial" w:hAnsi="Arial" w:cs="Arial"/>
          <w:sz w:val="24"/>
          <w:szCs w:val="24"/>
        </w:rPr>
        <w:t>A continuación mostraré la estructura de la programación;</w:t>
      </w:r>
    </w:p>
    <w:p w:rsidR="0083108F" w:rsidRDefault="0083108F">
      <w:pPr>
        <w:rPr>
          <w:rFonts w:ascii="Arial" w:hAnsi="Arial" w:cs="Arial"/>
          <w:sz w:val="24"/>
          <w:szCs w:val="24"/>
        </w:rPr>
      </w:pPr>
      <w:r>
        <w:rPr>
          <w:noProof/>
          <w:lang w:eastAsia="es-MX"/>
        </w:rPr>
        <w:drawing>
          <wp:inline distT="0" distB="0" distL="0" distR="0" wp14:anchorId="6ACA6424" wp14:editId="667F2C59">
            <wp:extent cx="5612130" cy="21183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118360"/>
                    </a:xfrm>
                    <a:prstGeom prst="rect">
                      <a:avLst/>
                    </a:prstGeom>
                  </pic:spPr>
                </pic:pic>
              </a:graphicData>
            </a:graphic>
          </wp:inline>
        </w:drawing>
      </w:r>
    </w:p>
    <w:p w:rsidR="00B3485D" w:rsidRDefault="0083108F">
      <w:pPr>
        <w:rPr>
          <w:rFonts w:ascii="Arial" w:hAnsi="Arial" w:cs="Arial"/>
          <w:sz w:val="24"/>
          <w:szCs w:val="24"/>
        </w:rPr>
      </w:pPr>
      <w:r>
        <w:rPr>
          <w:rFonts w:ascii="Arial" w:hAnsi="Arial" w:cs="Arial"/>
          <w:sz w:val="24"/>
          <w:szCs w:val="24"/>
        </w:rPr>
        <w:t xml:space="preserve">Sintaxis para </w:t>
      </w:r>
      <w:r w:rsidR="00B3485D">
        <w:rPr>
          <w:rFonts w:ascii="Arial" w:hAnsi="Arial" w:cs="Arial"/>
          <w:sz w:val="24"/>
          <w:szCs w:val="24"/>
        </w:rPr>
        <w:t>dar de alta un componente</w:t>
      </w:r>
    </w:p>
    <w:p w:rsidR="00B3485D" w:rsidRDefault="00B3485D">
      <w:pPr>
        <w:rPr>
          <w:rFonts w:ascii="Arial" w:hAnsi="Arial" w:cs="Arial"/>
          <w:sz w:val="24"/>
          <w:szCs w:val="24"/>
        </w:rPr>
      </w:pPr>
      <w:r>
        <w:rPr>
          <w:noProof/>
          <w:lang w:eastAsia="es-MX"/>
        </w:rPr>
        <w:drawing>
          <wp:inline distT="0" distB="0" distL="0" distR="0" wp14:anchorId="36335105" wp14:editId="54EC0974">
            <wp:extent cx="5612130" cy="102425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24255"/>
                    </a:xfrm>
                    <a:prstGeom prst="rect">
                      <a:avLst/>
                    </a:prstGeom>
                  </pic:spPr>
                </pic:pic>
              </a:graphicData>
            </a:graphic>
          </wp:inline>
        </w:drawing>
      </w:r>
    </w:p>
    <w:p w:rsidR="0083108F" w:rsidRDefault="008239E1">
      <w:pPr>
        <w:rPr>
          <w:rFonts w:ascii="Arial" w:hAnsi="Arial" w:cs="Arial"/>
          <w:sz w:val="24"/>
          <w:szCs w:val="24"/>
        </w:rPr>
      </w:pPr>
      <w:r>
        <w:rPr>
          <w:rFonts w:ascii="Arial" w:hAnsi="Arial" w:cs="Arial"/>
          <w:sz w:val="24"/>
          <w:szCs w:val="24"/>
        </w:rPr>
        <w:t>De forma básica para crear un archivo con los componentes. Tiene que te</w:t>
      </w:r>
      <w:r w:rsidR="00092975">
        <w:rPr>
          <w:rFonts w:ascii="Arial" w:hAnsi="Arial" w:cs="Arial"/>
          <w:sz w:val="24"/>
          <w:szCs w:val="24"/>
        </w:rPr>
        <w:t>ner dicha estructura y organización de la programación.</w:t>
      </w:r>
      <w:bookmarkStart w:id="0" w:name="_GoBack"/>
      <w:bookmarkEnd w:id="0"/>
      <w:r w:rsidR="0083108F">
        <w:rPr>
          <w:rFonts w:ascii="Arial" w:hAnsi="Arial" w:cs="Arial"/>
          <w:sz w:val="24"/>
          <w:szCs w:val="24"/>
        </w:rPr>
        <w:br w:type="page"/>
      </w:r>
    </w:p>
    <w:p w:rsidR="0083108F" w:rsidRPr="008239E1" w:rsidRDefault="0083108F" w:rsidP="004625C7">
      <w:pPr>
        <w:spacing w:line="360" w:lineRule="auto"/>
        <w:jc w:val="both"/>
        <w:rPr>
          <w:rFonts w:ascii="Times New Roman" w:hAnsi="Times New Roman" w:cs="Times New Roman"/>
          <w:i/>
          <w:sz w:val="32"/>
          <w:szCs w:val="24"/>
          <w:u w:val="single"/>
        </w:rPr>
      </w:pPr>
      <w:r w:rsidRPr="008239E1">
        <w:rPr>
          <w:rFonts w:ascii="Times New Roman" w:hAnsi="Times New Roman" w:cs="Times New Roman"/>
          <w:i/>
          <w:sz w:val="32"/>
          <w:szCs w:val="24"/>
          <w:u w:val="single"/>
        </w:rPr>
        <w:lastRenderedPageBreak/>
        <w:t xml:space="preserve">Referencias bibliográficas </w:t>
      </w:r>
    </w:p>
    <w:p w:rsidR="0083108F" w:rsidRPr="0083108F" w:rsidRDefault="0083108F" w:rsidP="0083108F">
      <w:pPr>
        <w:pStyle w:val="Prrafodelista"/>
        <w:numPr>
          <w:ilvl w:val="0"/>
          <w:numId w:val="2"/>
        </w:numPr>
        <w:spacing w:line="360" w:lineRule="auto"/>
        <w:jc w:val="both"/>
        <w:rPr>
          <w:rFonts w:ascii="Arial" w:hAnsi="Arial" w:cs="Arial"/>
          <w:sz w:val="24"/>
          <w:szCs w:val="24"/>
        </w:rPr>
      </w:pPr>
      <w:r w:rsidRPr="0083108F">
        <w:rPr>
          <w:rFonts w:ascii="Arial" w:hAnsi="Arial" w:cs="Arial"/>
          <w:sz w:val="24"/>
          <w:szCs w:val="24"/>
        </w:rPr>
        <w:t>Sintaxis de la revisión del 93</w:t>
      </w:r>
    </w:p>
    <w:p w:rsidR="0083108F" w:rsidRPr="0083108F" w:rsidRDefault="0083108F" w:rsidP="0083108F">
      <w:pPr>
        <w:pStyle w:val="Prrafodelista"/>
        <w:numPr>
          <w:ilvl w:val="0"/>
          <w:numId w:val="2"/>
        </w:numPr>
        <w:spacing w:line="360" w:lineRule="auto"/>
        <w:jc w:val="both"/>
        <w:rPr>
          <w:rFonts w:ascii="Arial" w:hAnsi="Arial" w:cs="Arial"/>
          <w:sz w:val="24"/>
          <w:szCs w:val="24"/>
        </w:rPr>
      </w:pPr>
      <w:proofErr w:type="spellStart"/>
      <w:r w:rsidRPr="0083108F">
        <w:rPr>
          <w:rFonts w:ascii="Arial" w:hAnsi="Arial" w:cs="Arial"/>
          <w:sz w:val="24"/>
          <w:szCs w:val="24"/>
        </w:rPr>
        <w:t>Synplicity</w:t>
      </w:r>
      <w:proofErr w:type="spellEnd"/>
      <w:r w:rsidRPr="0083108F">
        <w:rPr>
          <w:rFonts w:ascii="Arial" w:hAnsi="Arial" w:cs="Arial"/>
          <w:sz w:val="24"/>
          <w:szCs w:val="24"/>
        </w:rPr>
        <w:t>. Herramientas de síntesis física y verificación de diseño</w:t>
      </w:r>
    </w:p>
    <w:p w:rsidR="0083108F" w:rsidRPr="0083108F" w:rsidRDefault="0083108F" w:rsidP="0083108F">
      <w:pPr>
        <w:pStyle w:val="Prrafodelista"/>
        <w:numPr>
          <w:ilvl w:val="0"/>
          <w:numId w:val="2"/>
        </w:numPr>
        <w:spacing w:line="360" w:lineRule="auto"/>
        <w:jc w:val="both"/>
        <w:rPr>
          <w:rFonts w:ascii="Arial" w:hAnsi="Arial" w:cs="Arial"/>
          <w:sz w:val="24"/>
          <w:szCs w:val="24"/>
        </w:rPr>
      </w:pPr>
      <w:r w:rsidRPr="0083108F">
        <w:rPr>
          <w:rFonts w:ascii="Arial" w:hAnsi="Arial" w:cs="Arial"/>
          <w:sz w:val="24"/>
          <w:szCs w:val="24"/>
        </w:rPr>
        <w:t xml:space="preserve">Mentor </w:t>
      </w:r>
      <w:proofErr w:type="spellStart"/>
      <w:r w:rsidRPr="0083108F">
        <w:rPr>
          <w:rFonts w:ascii="Arial" w:hAnsi="Arial" w:cs="Arial"/>
          <w:sz w:val="24"/>
          <w:szCs w:val="24"/>
        </w:rPr>
        <w:t>Graphics</w:t>
      </w:r>
      <w:proofErr w:type="spellEnd"/>
      <w:r w:rsidRPr="0083108F">
        <w:rPr>
          <w:rFonts w:ascii="Arial" w:hAnsi="Arial" w:cs="Arial"/>
          <w:sz w:val="24"/>
          <w:szCs w:val="24"/>
        </w:rPr>
        <w:t xml:space="preserve">. Herramientas de síntesis física, simulación y otras relacionadas con diseño </w:t>
      </w:r>
      <w:r w:rsidRPr="0083108F">
        <w:rPr>
          <w:rFonts w:ascii="Arial" w:hAnsi="Arial" w:cs="Arial"/>
          <w:sz w:val="24"/>
          <w:szCs w:val="24"/>
        </w:rPr>
        <w:t>microelectrónica</w:t>
      </w:r>
      <w:r w:rsidRPr="0083108F">
        <w:rPr>
          <w:rFonts w:ascii="Arial" w:hAnsi="Arial" w:cs="Arial"/>
          <w:sz w:val="24"/>
          <w:szCs w:val="24"/>
        </w:rPr>
        <w:t>, sistemas embebidos, diseño de PCB, etc.</w:t>
      </w:r>
    </w:p>
    <w:sectPr w:rsidR="0083108F" w:rsidRPr="0083108F" w:rsidSect="004C326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5F37"/>
    <w:multiLevelType w:val="hybridMultilevel"/>
    <w:tmpl w:val="292CDC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103167"/>
    <w:multiLevelType w:val="hybridMultilevel"/>
    <w:tmpl w:val="15F6C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6B"/>
    <w:rsid w:val="00092975"/>
    <w:rsid w:val="004625C7"/>
    <w:rsid w:val="004C326B"/>
    <w:rsid w:val="004E124F"/>
    <w:rsid w:val="008239E1"/>
    <w:rsid w:val="0083108F"/>
    <w:rsid w:val="00B3485D"/>
    <w:rsid w:val="00B705B8"/>
    <w:rsid w:val="00C15DE0"/>
    <w:rsid w:val="00CE5B50"/>
    <w:rsid w:val="00E64C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94E39-8F5A-480F-A2EC-6A3D49F8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C326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C326B"/>
    <w:rPr>
      <w:rFonts w:eastAsiaTheme="minorEastAsia"/>
      <w:lang w:eastAsia="es-MX"/>
    </w:rPr>
  </w:style>
  <w:style w:type="paragraph" w:styleId="Prrafodelista">
    <w:name w:val="List Paragraph"/>
    <w:basedOn w:val="Normal"/>
    <w:uiPriority w:val="34"/>
    <w:qFormat/>
    <w:rsid w:val="00831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01877">
      <w:bodyDiv w:val="1"/>
      <w:marLeft w:val="0"/>
      <w:marRight w:val="0"/>
      <w:marTop w:val="0"/>
      <w:marBottom w:val="0"/>
      <w:divBdr>
        <w:top w:val="none" w:sz="0" w:space="0" w:color="auto"/>
        <w:left w:val="none" w:sz="0" w:space="0" w:color="auto"/>
        <w:bottom w:val="none" w:sz="0" w:space="0" w:color="auto"/>
        <w:right w:val="none" w:sz="0" w:space="0" w:color="auto"/>
      </w:divBdr>
    </w:div>
    <w:div w:id="1111125614">
      <w:bodyDiv w:val="1"/>
      <w:marLeft w:val="0"/>
      <w:marRight w:val="0"/>
      <w:marTop w:val="0"/>
      <w:marBottom w:val="0"/>
      <w:divBdr>
        <w:top w:val="none" w:sz="0" w:space="0" w:color="auto"/>
        <w:left w:val="none" w:sz="0" w:space="0" w:color="auto"/>
        <w:bottom w:val="none" w:sz="0" w:space="0" w:color="auto"/>
        <w:right w:val="none" w:sz="0" w:space="0" w:color="auto"/>
      </w:divBdr>
    </w:div>
    <w:div w:id="17573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5</Pages>
  <Words>659</Words>
  <Characters>3629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Organización y estructura vhdl</vt:lpstr>
    </vt:vector>
  </TitlesOfParts>
  <Company>Isidoro Eduard Pérez Solorio</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vhdl</dc:title>
  <dc:subject>Carlos Enrique Moran Garabito</dc:subject>
  <dc:creator>Isidoro Perez Orduña</dc:creator>
  <cp:keywords/>
  <dc:description/>
  <cp:lastModifiedBy>Isidoro Perez Orduña</cp:lastModifiedBy>
  <cp:revision>6</cp:revision>
  <dcterms:created xsi:type="dcterms:W3CDTF">2020-04-04T01:29:00Z</dcterms:created>
  <dcterms:modified xsi:type="dcterms:W3CDTF">2020-04-04T18:01:00Z</dcterms:modified>
  <cp:category>Ing. Mecatrónica 8vo</cp:category>
</cp:coreProperties>
</file>