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016A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bookmarkStart w:id="0" w:name="_Hlk483770547"/>
      <w:r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t>Содержание</w:t>
      </w:r>
    </w:p>
    <w:p w14:paraId="79F73B74" w14:textId="1D032578" w:rsidR="00612AA5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7039644" w:history="1">
        <w:r w:rsidR="00612AA5" w:rsidRPr="00FA5DBB">
          <w:rPr>
            <w:rStyle w:val="Hyperlink"/>
            <w:rFonts w:ascii="Times New Roman" w:hAnsi="Times New Roman"/>
            <w:noProof/>
          </w:rPr>
          <w:t>ВВЕДЕНИЕ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_Toc7039644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noProof/>
            <w:webHidden/>
          </w:rPr>
          <w:t>5</w:t>
        </w:r>
        <w:r w:rsidR="00612AA5">
          <w:rPr>
            <w:noProof/>
            <w:webHidden/>
          </w:rPr>
          <w:fldChar w:fldCharType="end"/>
        </w:r>
      </w:hyperlink>
    </w:p>
    <w:p w14:paraId="1CB0CBA7" w14:textId="78420615" w:rsidR="00612AA5" w:rsidRDefault="00ED7C5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5" w:history="1">
        <w:r w:rsidR="00612AA5" w:rsidRPr="00FA5DBB">
          <w:rPr>
            <w:rStyle w:val="Hyperlink"/>
            <w:rFonts w:ascii="Times New Roman" w:hAnsi="Times New Roman"/>
            <w:noProof/>
          </w:rPr>
          <w:t>1.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</w:rPr>
          <w:t>ОБЗОР ПРЕДМЕТНОЙ ОБЛАСТИ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_Toc7039645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noProof/>
            <w:webHidden/>
          </w:rPr>
          <w:t>8</w:t>
        </w:r>
        <w:r w:rsidR="00612AA5">
          <w:rPr>
            <w:noProof/>
            <w:webHidden/>
          </w:rPr>
          <w:fldChar w:fldCharType="end"/>
        </w:r>
      </w:hyperlink>
    </w:p>
    <w:p w14:paraId="4581788B" w14:textId="4DB72265" w:rsidR="00612AA5" w:rsidRDefault="00ED7C5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6" w:history="1">
        <w:r w:rsidR="00612AA5" w:rsidRPr="00FA5DBB">
          <w:rPr>
            <w:rStyle w:val="Hyperlink"/>
            <w:rFonts w:ascii="Times New Roman" w:hAnsi="Times New Roman"/>
            <w:noProof/>
            <w:lang w:val="en-US"/>
          </w:rPr>
          <w:t>2.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shd w:val="clear" w:color="auto" w:fill="FFFFFF"/>
          </w:rPr>
          <w:t>ВЫБОР МЕТОДА РЕШЕНИЯ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_Toc7039646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b/>
            <w:bCs/>
            <w:noProof/>
            <w:webHidden/>
            <w:lang w:val="en-US"/>
          </w:rPr>
          <w:t>Error! Bookmark not defined.</w:t>
        </w:r>
        <w:r w:rsidR="00612AA5">
          <w:rPr>
            <w:noProof/>
            <w:webHidden/>
          </w:rPr>
          <w:fldChar w:fldCharType="end"/>
        </w:r>
      </w:hyperlink>
    </w:p>
    <w:p w14:paraId="12FA5327" w14:textId="31472036" w:rsidR="00612AA5" w:rsidRDefault="00ED7C5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7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3.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ОПИСАНИЕ МЕТОДА РЕШЕНИЯ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_Toc7039647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noProof/>
            <w:webHidden/>
          </w:rPr>
          <w:t>20</w:t>
        </w:r>
        <w:r w:rsidR="00612AA5">
          <w:rPr>
            <w:noProof/>
            <w:webHidden/>
          </w:rPr>
          <w:fldChar w:fldCharType="end"/>
        </w:r>
      </w:hyperlink>
    </w:p>
    <w:p w14:paraId="2854ACCD" w14:textId="25EE5CDC" w:rsidR="00612AA5" w:rsidRDefault="00ED7C5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8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4.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ИССЛЕДОВАНИЕ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_Toc7039648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b/>
            <w:bCs/>
            <w:noProof/>
            <w:webHidden/>
            <w:lang w:val="en-US"/>
          </w:rPr>
          <w:t>Error! Bookmark not defined.</w:t>
        </w:r>
        <w:r w:rsidR="00612AA5">
          <w:rPr>
            <w:noProof/>
            <w:webHidden/>
          </w:rPr>
          <w:fldChar w:fldCharType="end"/>
        </w:r>
      </w:hyperlink>
    </w:p>
    <w:p w14:paraId="5375FFB3" w14:textId="2ADC3690" w:rsidR="00612AA5" w:rsidRDefault="00ED7C5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9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_Toc7039649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252714">
          <w:rPr>
            <w:noProof/>
            <w:webHidden/>
          </w:rPr>
          <w:t>24</w:t>
        </w:r>
        <w:r w:rsidR="00612AA5">
          <w:rPr>
            <w:noProof/>
            <w:webHidden/>
          </w:rPr>
          <w:fldChar w:fldCharType="end"/>
        </w:r>
      </w:hyperlink>
    </w:p>
    <w:p w14:paraId="69E76679" w14:textId="3ADAE104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3" w:name="_Toc7039644"/>
      <w:r w:rsidRPr="002A0735">
        <w:rPr>
          <w:rFonts w:ascii="Times New Roman" w:hAnsi="Times New Roman"/>
        </w:rPr>
        <w:t>В</w:t>
      </w:r>
      <w:r w:rsidR="006E3AF3">
        <w:rPr>
          <w:rFonts w:ascii="Times New Roman" w:hAnsi="Times New Roman"/>
        </w:rPr>
        <w:t>ВЕДЕНИЕ</w:t>
      </w:r>
      <w:bookmarkEnd w:id="3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4F0FBB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авторов.</w:t>
      </w:r>
    </w:p>
    <w:p w14:paraId="651B437C" w14:textId="769B2FB2" w:rsidR="00D12A4F" w:rsidRPr="00B1418B" w:rsidRDefault="00B1418B" w:rsidP="0041277D">
      <w:pPr>
        <w:spacing w:before="240"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 w:rsidRPr="00B1418B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ПОДРОБНЕЕ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70631CA6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0D77EF78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Разработать решение.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Практическая значимость.</w:t>
      </w:r>
    </w:p>
    <w:p w14:paraId="4C5191D3" w14:textId="4D59DEDD" w:rsidR="002914D5" w:rsidRPr="0041277D" w:rsidRDefault="002914D5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CFD29C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CF92B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3D8EB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7E5F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5DB0A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D500AC2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</w:rPr>
      </w:pPr>
      <w:bookmarkStart w:id="4" w:name="_Toc7039645"/>
      <w:r w:rsidRPr="00B267FD">
        <w:rPr>
          <w:rFonts w:ascii="Times New Roman" w:hAnsi="Times New Roman"/>
          <w:sz w:val="28"/>
          <w:szCs w:val="28"/>
        </w:rPr>
        <w:lastRenderedPageBreak/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4"/>
    </w:p>
    <w:p w14:paraId="41370663" w14:textId="64A9BCA6" w:rsidR="004B4B22" w:rsidRPr="003226A4" w:rsidRDefault="004D2DA4" w:rsidP="00602AD4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</w:p>
    <w:p w14:paraId="64708D34" w14:textId="6B4FC8EE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019BCB3" w14:textId="1D9A3734" w:rsidR="00FA4931" w:rsidRPr="00602AD4" w:rsidRDefault="000C0531" w:rsidP="00602AD4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</w:p>
    <w:p w14:paraId="7C29913B" w14:textId="61B451AF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20DC832A" w:rsidR="00FA4931" w:rsidRPr="006025F6" w:rsidRDefault="006E3C57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</w:t>
      </w: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полнооформленность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логичности в научной речи используются рассуждение и доказательство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418AC5C1" w:rsidR="00FA4931" w:rsidRPr="006025F6" w:rsidRDefault="0051568A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Последовательность — характеристика текста, в котором выводы вытекают из содержания и непротиворечивы, текст разбит на отдельные 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следовательно, итак, таким образом, с одной стороны, с другой стороны и т.п.)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452B6DFC" w:rsidR="0016704F" w:rsidRPr="006025F6" w:rsidRDefault="00234C5D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16704F" w:rsidRPr="006025F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C603B3D" w14:textId="5E73FAFC" w:rsidR="00FA4931" w:rsidRPr="006025F6" w:rsidRDefault="00613F00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личных;</w:t>
      </w:r>
    </w:p>
    <w:p w14:paraId="3E30A21F" w14:textId="6DC76D1B" w:rsidR="0016704F" w:rsidRPr="006025F6" w:rsidRDefault="004429F9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Диалогичность — коммуникативная направленность научной речи, необходимость учета адресата. Хотя научный текст квалифицируется как монологический, ему свойственна диалогичность, т.е. направленность речи на адресата</w:t>
      </w:r>
      <w:r w:rsidR="0016704F"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.</w:t>
      </w:r>
    </w:p>
    <w:p w14:paraId="3612C91C" w14:textId="19405A1A" w:rsidR="0016704F" w:rsidRPr="006025F6" w:rsidRDefault="006025F6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>Аргументированность научной речи — обоснованность; отсутствие или слабость аргументов в научной речи — логическая и стратегическая ошибкой.</w:t>
      </w:r>
    </w:p>
    <w:p w14:paraId="63C164E4" w14:textId="79C09020" w:rsidR="0016704F" w:rsidRPr="00602AD4" w:rsidRDefault="002D58F1" w:rsidP="00602AD4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proofErr w:type="spellEnd"/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</w:p>
    <w:p w14:paraId="62C0BB31" w14:textId="77777777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lastRenderedPageBreak/>
        <w:t xml:space="preserve">Научный стиль речи подразделяется на </w:t>
      </w:r>
      <w:proofErr w:type="spellStart"/>
      <w:r w:rsidRPr="00A17D8F">
        <w:rPr>
          <w:sz w:val="28"/>
          <w:szCs w:val="28"/>
          <w:lang w:val="ru-RU"/>
        </w:rPr>
        <w:t>подстили</w:t>
      </w:r>
      <w:proofErr w:type="spellEnd"/>
      <w:r w:rsidRPr="00A17D8F">
        <w:rPr>
          <w:sz w:val="28"/>
          <w:szCs w:val="28"/>
          <w:lang w:val="ru-RU"/>
        </w:rPr>
        <w:t>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77777777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 xml:space="preserve">Отличительная черта собственно-научного стиля — академическое изложение, адресованное специалистам. Признаки этого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статья, доклад,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монография.</w:t>
      </w:r>
    </w:p>
    <w:p w14:paraId="03C91736" w14:textId="10541162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Назначение научно-информативного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 — сообщение научной информации с точным объектным описанием фактов. </w:t>
      </w:r>
      <w:proofErr w:type="gramStart"/>
      <w:r w:rsidRPr="007741D3">
        <w:rPr>
          <w:rFonts w:ascii="Times New Roman" w:eastAsia="Times New Roman" w:hAnsi="Times New Roman"/>
          <w:sz w:val="28"/>
          <w:szCs w:val="28"/>
        </w:rPr>
        <w:t>К стереотипность</w:t>
      </w:r>
      <w:proofErr w:type="gramEnd"/>
      <w:r w:rsidRPr="007741D3">
        <w:rPr>
          <w:rFonts w:ascii="Times New Roman" w:eastAsia="Times New Roman" w:hAnsi="Times New Roman"/>
          <w:sz w:val="28"/>
          <w:szCs w:val="28"/>
        </w:rPr>
        <w:t xml:space="preserve"> композиции, к особенностям относятся стандартизация языковых средств, унификация синтаксических конструкций. Этот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подстиль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 реализуется в рефератах, аннотациях, каталогах, специальных словарях, патентных и технологических описаниях.</w:t>
      </w:r>
    </w:p>
    <w:p w14:paraId="03F1085A" w14:textId="77777777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справочниках.</w:t>
      </w:r>
    </w:p>
    <w:p w14:paraId="2B631402" w14:textId="77777777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подстиля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пояснений, толкований.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Подстиль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объединяет жанры учебников (учебных монографий), учебных и учебно-методических пособий, учебных словарей, 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зрения.</w:t>
      </w:r>
    </w:p>
    <w:p w14:paraId="372F2607" w14:textId="2C7B3F2C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 адресованы широкому кругу читателей, поэтому научные данные излагаются в доступной и </w:t>
      </w:r>
      <w:r w:rsidRPr="00711CBF">
        <w:rPr>
          <w:rFonts w:ascii="Times New Roman" w:eastAsia="Times New Roman" w:hAnsi="Times New Roman"/>
          <w:sz w:val="28"/>
          <w:szCs w:val="28"/>
        </w:rPr>
        <w:lastRenderedPageBreak/>
        <w:t xml:space="preserve">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классификации.</w:t>
      </w:r>
    </w:p>
    <w:p w14:paraId="7D111D40" w14:textId="1CCD383C" w:rsidR="00711CBF" w:rsidRPr="00FB6ACD" w:rsidRDefault="00FB6ACD" w:rsidP="00FB6ACD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7C0E4107" w:rsidR="00AD04C7" w:rsidRDefault="00AD04C7" w:rsidP="00AD04C7">
      <w:pPr>
        <w:pStyle w:val="ListParagraph"/>
        <w:numPr>
          <w:ilvl w:val="0"/>
          <w:numId w:val="45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Использование личных местоимений.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 xml:space="preserve">Личные и притяжательные местоимения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(я, ты, мною, вы, наш)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>имеют отвлеченно-обобщенный характер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их употребление необходимо избегать, но некоторые формы употреблять для связи допускается (</w:t>
      </w:r>
      <w:r>
        <w:rPr>
          <w:rFonts w:ascii="Arial" w:hAnsi="Arial" w:cs="Arial"/>
          <w:color w:val="1C1C1C"/>
          <w:shd w:val="clear" w:color="auto" w:fill="FFFFFF"/>
        </w:rPr>
        <w:t>их</w:t>
      </w:r>
      <w:r>
        <w:rPr>
          <w:rFonts w:ascii="Arial" w:hAnsi="Arial" w:cs="Arial"/>
          <w:color w:val="1C1C1C"/>
          <w:shd w:val="clear" w:color="auto" w:fill="FFFFFF"/>
        </w:rPr>
        <w:t>, своих</w:t>
      </w:r>
      <w:r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BACECC7" w14:textId="7FC2ADFD" w:rsidR="001D3D48" w:rsidRPr="001D3D48" w:rsidRDefault="00AD04C7" w:rsidP="001D3D48">
      <w:pPr>
        <w:pStyle w:val="ListParagraph"/>
        <w:numPr>
          <w:ilvl w:val="0"/>
          <w:numId w:val="45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Использование неопределенных местоимений (кое-что, что-нибудь)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употребляются;</w:t>
      </w:r>
    </w:p>
    <w:p w14:paraId="6CC7EC8E" w14:textId="65634715" w:rsidR="00AD04C7" w:rsidRDefault="00AD04C7" w:rsidP="004C4BF5">
      <w:p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AADC3A" w14:textId="6696A20C" w:rsidR="004C4BF5" w:rsidRPr="004C4BF5" w:rsidRDefault="004C4BF5" w:rsidP="004C4BF5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t>Проверка качества текста</w:t>
      </w:r>
    </w:p>
    <w:p w14:paraId="16021D38" w14:textId="6A279EDE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Проверяя текст на соответствие научному стилю, следует в первую очередь реализовать и базовую проверку на качество текста. 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) анализ [2-3] популярен и актуален в связи с необходимостью продвижения ресурсов, 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</w:p>
    <w:p w14:paraId="0D06AD54" w14:textId="260A7C42" w:rsidR="001D3D48" w:rsidRPr="001D3D48" w:rsidRDefault="001D3D48" w:rsidP="001D3D48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</w:p>
    <w:p w14:paraId="18279A9D" w14:textId="4B7D7D36" w:rsidR="001D3D48" w:rsidRPr="0012711C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[3]. </w:t>
      </w:r>
      <w:r w:rsidR="0012711C" w:rsidRPr="0012711C">
        <w:rPr>
          <w:rFonts w:ascii="Times New Roman" w:hAnsi="Times New Roman"/>
          <w:sz w:val="28"/>
          <w:szCs w:val="28"/>
        </w:rPr>
        <w:t>Стоп-слова – это слова в тексте, которые не несут смысловой нагрузки</w:t>
      </w:r>
      <w:r w:rsidR="0012711C" w:rsidRPr="0012711C">
        <w:rPr>
          <w:rFonts w:ascii="Times New Roman" w:hAnsi="Times New Roman"/>
          <w:sz w:val="28"/>
          <w:szCs w:val="28"/>
        </w:rPr>
        <w:t xml:space="preserve"> </w:t>
      </w:r>
      <w:r w:rsidR="0012711C" w:rsidRPr="0012711C">
        <w:rPr>
          <w:rFonts w:ascii="Times New Roman" w:hAnsi="Times New Roman"/>
          <w:sz w:val="28"/>
          <w:szCs w:val="28"/>
        </w:rPr>
        <w:t>[3]</w:t>
      </w:r>
      <w:r w:rsidR="0012711C" w:rsidRPr="0012711C">
        <w:rPr>
          <w:rFonts w:ascii="Times New Roman" w:hAnsi="Times New Roman"/>
          <w:sz w:val="28"/>
          <w:szCs w:val="28"/>
        </w:rPr>
        <w:t xml:space="preserve">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[3].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[4-5].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4E9AD04C" w14:textId="4BB32B1C" w:rsidR="001D3D48" w:rsidRPr="001D3D48" w:rsidRDefault="001D3D48" w:rsidP="001D3D48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12711C">
      <w:pPr>
        <w:pStyle w:val="ListParagraph"/>
        <w:numPr>
          <w:ilvl w:val="0"/>
          <w:numId w:val="46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802653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802653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3B55BF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3B55BF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Качество содержания текста</w:t>
      </w:r>
    </w:p>
    <w:p w14:paraId="5EB72A2F" w14:textId="26CB9D6C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Помимо описанных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[6].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51493B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</w:p>
    <w:p w14:paraId="647B1B7C" w14:textId="32E50D8A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проверяющие текст по этим критериям - 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анализ текста, например Анализатор качества контента 1y.ru [5], сервис проверки текстов text.ru [6], сервис, осуществляющий поиск стоп-слов и подсчет их процентного соотношения к общей длине текста contentmonster.ru [7].</w:t>
      </w:r>
    </w:p>
    <w:p w14:paraId="0E50EA73" w14:textId="1101CEF8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 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– сервис «помогающий очистить тест от словесного мусора и проверяющий его на соответствие 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Информационный и научный стили имеют общую цель – донесение информации. Научный стиль является подмножеством информационного стиля [ССЫЛКУ НАЙТИ НА </w:t>
      </w:r>
      <w:proofErr w:type="gramStart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ЧТО НИБУДЬ</w:t>
      </w:r>
      <w:proofErr w:type="gramEnd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123B75" w14:textId="0AC20FC3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p w14:paraId="6E487DD6" w14:textId="77777777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0A4E04EF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6E20094E" w14:textId="2063503D" w:rsidR="002E68FF" w:rsidRPr="003226A4" w:rsidRDefault="002E68FF" w:rsidP="00D12A4F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Фактические правила проверки научных статей в существующем курсе</w:t>
      </w:r>
    </w:p>
    <w:p w14:paraId="1D09E757" w14:textId="0BF62B48" w:rsidR="002E68FF" w:rsidRDefault="002E68FF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Существует открытый курс по написанию научных статей на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Stepic</w:t>
      </w:r>
      <w:proofErr w:type="spellEnd"/>
      <w:r w:rsidRPr="002E68F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2E68FF">
        <w:rPr>
          <w:rFonts w:ascii="Times New Roman" w:hAnsi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/>
          <w:sz w:val="28"/>
          <w:szCs w:val="28"/>
          <w:shd w:val="clear" w:color="auto" w:fill="FFFFFF"/>
        </w:rPr>
        <w:t>, в котором используются следующие правила проверки:</w:t>
      </w:r>
    </w:p>
    <w:p w14:paraId="5C6D5C95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bCs/>
          <w:color w:val="222222"/>
          <w:sz w:val="28"/>
          <w:szCs w:val="28"/>
        </w:rPr>
        <w:t>Аннотация</w:t>
      </w:r>
      <w:r w:rsidRPr="005D17AC">
        <w:rPr>
          <w:rFonts w:ascii="Times New Roman" w:eastAsia="Times New Roman" w:hAnsi="Times New Roman"/>
          <w:color w:val="222222"/>
          <w:sz w:val="28"/>
          <w:szCs w:val="28"/>
          <w:lang w:val="en-US"/>
        </w:rPr>
        <w:t> </w:t>
      </w: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написана в совершенном времени.</w:t>
      </w:r>
    </w:p>
    <w:p w14:paraId="020CD2FC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Во</w:t>
      </w:r>
      <w:r w:rsidRPr="005D17AC">
        <w:rPr>
          <w:rFonts w:ascii="Times New Roman" w:eastAsia="Times New Roman" w:hAnsi="Times New Roman"/>
          <w:color w:val="222222"/>
          <w:sz w:val="28"/>
          <w:szCs w:val="28"/>
          <w:lang w:val="en-US"/>
        </w:rPr>
        <w:t> </w:t>
      </w:r>
      <w:r w:rsidRPr="005D17AC">
        <w:rPr>
          <w:rFonts w:ascii="Times New Roman" w:eastAsia="Times New Roman" w:hAnsi="Times New Roman"/>
          <w:bCs/>
          <w:color w:val="222222"/>
          <w:sz w:val="28"/>
          <w:szCs w:val="28"/>
        </w:rPr>
        <w:t>Введении</w:t>
      </w:r>
      <w:r w:rsidRPr="005D17AC">
        <w:rPr>
          <w:rFonts w:ascii="Times New Roman" w:eastAsia="Times New Roman" w:hAnsi="Times New Roman"/>
          <w:color w:val="222222"/>
          <w:sz w:val="28"/>
          <w:szCs w:val="28"/>
          <w:lang w:val="en-US"/>
        </w:rPr>
        <w:t> </w:t>
      </w: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В</w:t>
      </w:r>
      <w:r w:rsidRPr="005D17AC">
        <w:rPr>
          <w:rFonts w:ascii="Times New Roman" w:eastAsia="Times New Roman" w:hAnsi="Times New Roman"/>
          <w:color w:val="222222"/>
          <w:sz w:val="28"/>
          <w:szCs w:val="28"/>
          <w:lang w:val="en-US"/>
        </w:rPr>
        <w:t> </w:t>
      </w:r>
      <w:r w:rsidRPr="005D17AC">
        <w:rPr>
          <w:rFonts w:ascii="Times New Roman" w:eastAsia="Times New Roman" w:hAnsi="Times New Roman"/>
          <w:bCs/>
          <w:color w:val="222222"/>
          <w:sz w:val="28"/>
          <w:szCs w:val="28"/>
        </w:rPr>
        <w:t>Выводах</w:t>
      </w:r>
      <w:r w:rsidRPr="005D17AC">
        <w:rPr>
          <w:rFonts w:ascii="Times New Roman" w:eastAsia="Times New Roman" w:hAnsi="Times New Roman"/>
          <w:color w:val="222222"/>
          <w:sz w:val="28"/>
          <w:szCs w:val="28"/>
          <w:lang w:val="en-US"/>
        </w:rPr>
        <w:t> </w:t>
      </w: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lastRenderedPageBreak/>
        <w:t>В</w:t>
      </w:r>
      <w:r w:rsidRPr="005D17AC">
        <w:rPr>
          <w:rFonts w:ascii="Times New Roman" w:eastAsia="Times New Roman" w:hAnsi="Times New Roman"/>
          <w:color w:val="222222"/>
          <w:sz w:val="28"/>
          <w:szCs w:val="28"/>
          <w:lang w:val="en-US"/>
        </w:rPr>
        <w:t> </w:t>
      </w:r>
      <w:r w:rsidRPr="005D17AC">
        <w:rPr>
          <w:rFonts w:ascii="Times New Roman" w:eastAsia="Times New Roman" w:hAnsi="Times New Roman"/>
          <w:bCs/>
          <w:color w:val="222222"/>
          <w:sz w:val="28"/>
          <w:szCs w:val="28"/>
        </w:rPr>
        <w:t>Выводах</w:t>
      </w:r>
      <w:r w:rsidRPr="005D17AC">
        <w:rPr>
          <w:rFonts w:ascii="Times New Roman" w:eastAsia="Times New Roman" w:hAnsi="Times New Roman"/>
          <w:color w:val="222222"/>
          <w:sz w:val="28"/>
          <w:szCs w:val="28"/>
          <w:lang w:val="en-US"/>
        </w:rPr>
        <w:t> </w:t>
      </w: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Все элементы списка литературы имеют минимум одно упоминание в тексте</w:t>
      </w:r>
      <w:r w:rsidRPr="003B0DF0">
        <w:rPr>
          <w:rFonts w:ascii="Times New Roman" w:eastAsia="Times New Roman" w:hAnsi="Times New Roman"/>
          <w:color w:val="222222"/>
          <w:sz w:val="28"/>
          <w:szCs w:val="28"/>
        </w:rPr>
        <w:t>.</w:t>
      </w:r>
    </w:p>
    <w:p w14:paraId="668ADFBB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77777777" w:rsidR="005D17AC" w:rsidRPr="005D17AC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08F5DCB2" w:rsidR="002E68FF" w:rsidRPr="003B0DF0" w:rsidRDefault="005D17AC" w:rsidP="005D17AC">
      <w:pPr>
        <w:numPr>
          <w:ilvl w:val="0"/>
          <w:numId w:val="40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5D17AC">
        <w:rPr>
          <w:rFonts w:ascii="Times New Roman" w:eastAsia="Times New Roman" w:hAnsi="Times New Roman"/>
          <w:color w:val="222222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05B896AA" w:rsidR="005D17AC" w:rsidRPr="00673DED" w:rsidRDefault="00673DED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73DED">
        <w:rPr>
          <w:rFonts w:ascii="Times New Roman" w:hAnsi="Times New Roman"/>
          <w:sz w:val="28"/>
          <w:szCs w:val="28"/>
          <w:shd w:val="clear" w:color="auto" w:fill="FFFFFF"/>
        </w:rPr>
        <w:t>Большая часть требований – структур</w:t>
      </w:r>
      <w:bookmarkStart w:id="5" w:name="_GoBack"/>
      <w:bookmarkEnd w:id="5"/>
      <w:r w:rsidRPr="00673DED">
        <w:rPr>
          <w:rFonts w:ascii="Times New Roman" w:hAnsi="Times New Roman"/>
          <w:sz w:val="28"/>
          <w:szCs w:val="28"/>
          <w:shd w:val="clear" w:color="auto" w:fill="FFFFFF"/>
        </w:rPr>
        <w:t>ные. Проверку структурных требований возможно автоматизировать.</w:t>
      </w:r>
    </w:p>
    <w:p w14:paraId="4890EE04" w14:textId="77777777" w:rsidR="005D17AC" w:rsidRPr="005D17AC" w:rsidRDefault="005D17AC" w:rsidP="005D17AC">
      <w:pPr>
        <w:spacing w:after="0" w:line="360" w:lineRule="auto"/>
        <w:ind w:right="-1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</w:p>
    <w:p w14:paraId="108306B7" w14:textId="5EBDA976" w:rsidR="0039581B" w:rsidRDefault="0039581B" w:rsidP="0039581B">
      <w:pPr>
        <w:pStyle w:val="Heading1"/>
        <w:numPr>
          <w:ilvl w:val="0"/>
          <w:numId w:val="8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И ВЫБОР МЕТОДА РЕШЕНИЯ</w:t>
      </w:r>
    </w:p>
    <w:p w14:paraId="236F292B" w14:textId="014A064D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Задача</w:t>
      </w:r>
    </w:p>
    <w:p w14:paraId="0FE07591" w14:textId="630A39C7" w:rsidR="0039581B" w:rsidRPr="0039581B" w:rsidRDefault="0039581B" w:rsidP="0039581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решение, позволяющее проверить статью на соответствие научному стилю, в том числе, как давая числовую оценку работе, так и показывая ошибки, допущенные автором.</w:t>
      </w:r>
    </w:p>
    <w:p w14:paraId="2F4F72C8" w14:textId="7B64D3AE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59654A18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давать на вход решению файл;</w:t>
      </w:r>
    </w:p>
    <w:p w14:paraId="1DD870E2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lastRenderedPageBreak/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13038992" w:rsidR="0039581B" w:rsidRPr="0039581B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1F0142DB" w14:textId="09C150E7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</w:p>
    <w:p w14:paraId="58495D7F" w14:textId="599C5D8C" w:rsidR="0039581B" w:rsidRPr="0039581B" w:rsidRDefault="0039581B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>ринято решение реализовать веб-сервис, так как такой вид решения позволяет создать простой пользовательский интерфейс и наглядно предоставлять результаты.</w:t>
      </w:r>
    </w:p>
    <w:p w14:paraId="5BD93066" w14:textId="7CAF0820" w:rsidR="003F28EA" w:rsidRPr="00B267FD" w:rsidRDefault="0039581B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ОПИСАНИЕ МОДЕЛИ «ПРАВИЛЬНОЙ» СТАТЬИ</w:t>
      </w:r>
    </w:p>
    <w:p w14:paraId="28B9392E" w14:textId="333ECB37" w:rsidR="0039581B" w:rsidRPr="000B30C7" w:rsidRDefault="0039581B" w:rsidP="0039581B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Значение отклонения текста статьи от идеальной кривой по Ципфу [4-5]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773C86">
      <w:pPr>
        <w:pStyle w:val="ListParagraph"/>
        <w:numPr>
          <w:ilvl w:val="2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</w:p>
    <w:p w14:paraId="34DDFC1C" w14:textId="15F144FF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[8] и РИНЦ [9]. Для простоты анализа установили, что качество научной статьи можно выразить булевой переменной (1 - текст </w:t>
      </w:r>
      <w:r w:rsidRPr="001405E0">
        <w:rPr>
          <w:rFonts w:ascii="Times New Roman" w:hAnsi="Times New Roman"/>
          <w:sz w:val="28"/>
          <w:szCs w:val="28"/>
        </w:rPr>
        <w:lastRenderedPageBreak/>
        <w:t xml:space="preserve">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[10],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[11]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[12]. Были 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7777777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Для исследования требовалось простое 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1D7842D6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t xml:space="preserve">Был реализован исполняемый сценарий [ссылка]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</w:p>
    <w:p w14:paraId="49EF5437" w14:textId="535F9408" w:rsidR="00E660BC" w:rsidRPr="00E660BC" w:rsidRDefault="00E660BC" w:rsidP="00E660B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3F496CEA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7EE4160F" w14:textId="77777777" w:rsidR="00773C86" w:rsidRPr="00E660BC" w:rsidRDefault="00773C8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028C9A8" w14:textId="22EE8456" w:rsidR="00E660BC" w:rsidRPr="00E660BC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77777777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lastRenderedPageBreak/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[13], критерий Колмогорова-Смирнова [14], критерий Андерсона-Дарлинга [15]. В каждом из тестов проверяется нулевая гипотеза [16],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 xml:space="preserve">Статистическая значимость [16]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> [17] — величина, используемая при тестировании статистических 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[19].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[14]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8698438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8698439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8698440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[20],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8698441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8698442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8698443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8698444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773C86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</w:p>
    <w:p w14:paraId="09C583B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 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линейный коэффициент корреляции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 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 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6" w:name="MTBlankEqn"/>
    <w:p w14:paraId="5957F03A" w14:textId="77777777" w:rsidR="00E660BC" w:rsidRPr="00E660BC" w:rsidRDefault="00E660BC" w:rsidP="00E660BC">
      <w:pPr>
        <w:keepNext/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199.5pt;height:45.75pt" o:ole="">
            <v:imagedata r:id="rId24" o:title=""/>
          </v:shape>
          <o:OLEObject Type="Embed" ProgID="Equation.DSMT4" ShapeID="_x0000_i1032" DrawAspect="Content" ObjectID="_1618698445" r:id="rId25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(1)</w: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8698446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8698447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8698448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7777777" w:rsidR="00E660BC" w:rsidRPr="00E660BC" w:rsidRDefault="00E660BC" w:rsidP="00E660BC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18698449" r:id="rId33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                (2)</w:t>
      </w:r>
    </w:p>
    <w:bookmarkEnd w:id="6"/>
    <w:p w14:paraId="20729C7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8698450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8698451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8698452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8698453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8698454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8698455" r:id="rId39"/>
        </w:objec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67E8496E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555EB82" w14:textId="73BDBD8D" w:rsidR="00E660BC" w:rsidRPr="00773C86" w:rsidRDefault="00E660BC" w:rsidP="00773C86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</w:p>
    <w:p w14:paraId="5C38BF4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</w:t>
      </w:r>
      <w:r w:rsidRPr="00E660BC">
        <w:rPr>
          <w:rFonts w:ascii="Times New Roman" w:eastAsia="Times New Roman" w:hAnsi="Times New Roman"/>
          <w:sz w:val="28"/>
          <w:szCs w:val="28"/>
        </w:rPr>
        <w:lastRenderedPageBreak/>
        <w:t xml:space="preserve">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[21].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8698456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8698457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8698458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21.25pt;height:24pt" o:ole="">
            <v:imagedata r:id="rId46" o:title=""/>
          </v:shape>
          <o:OLEObject Type="Embed" ProgID="Equation.DSMT4" ShapeID="_x0000_i1046" DrawAspect="Content" ObjectID="_1618698459" r:id="rId47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(3)</w: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жанров:</w:t>
      </w:r>
    </w:p>
    <w:p w14:paraId="2FE6A9D9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работа «Корчеватель» [22-23]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[28]: «Моё разочарование в софте» [24], «Наши с вами персональные данные ничего не стоят» [25], </w:t>
      </w:r>
      <w:r w:rsidRPr="00E660BC">
        <w:rPr>
          <w:rFonts w:ascii="Times New Roman" w:eastAsia="Times New Roman" w:hAnsi="Times New Roman"/>
          <w:sz w:val="28"/>
          <w:szCs w:val="28"/>
        </w:rPr>
        <w:lastRenderedPageBreak/>
        <w:t xml:space="preserve">«Рассказ о том, как я ворую номера кредиток и пароли у посетителей ваших сайтов» [26],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[27];</w:t>
      </w:r>
    </w:p>
    <w:p w14:paraId="31399467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8698460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8698461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8698462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8698463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8698464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8698465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8698466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5E6776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</w:p>
    <w:p w14:paraId="02A7FBA8" w14:textId="25259C1F" w:rsidR="000B30C7" w:rsidRDefault="005E677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Ошибки несоответствия текста научному стилю можно классифицировать:</w:t>
      </w:r>
    </w:p>
    <w:p w14:paraId="2EE3142D" w14:textId="768A86F0" w:rsidR="005E6776" w:rsidRDefault="005E6776" w:rsidP="005E6776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5E6776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обобщений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243A52A7" w14:textId="50B7D884" w:rsidR="00A10BEC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Необъективная оценка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7FA3238" w14:textId="59F9EA01" w:rsidR="00A10BEC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усилителей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1B1B42F" w14:textId="1A131334" w:rsid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риторических вопросов.</w:t>
      </w:r>
    </w:p>
    <w:p w14:paraId="68D46CDB" w14:textId="10CB157D" w:rsidR="00A10BEC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структурных ошибок:</w:t>
      </w:r>
    </w:p>
    <w:p w14:paraId="5A04113C" w14:textId="56F90EA5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2BB3AD27" w14:textId="434DD9DD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рисунок;</w:t>
      </w:r>
    </w:p>
    <w:p w14:paraId="25E443AA" w14:textId="10AB767D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таблицу;</w:t>
      </w:r>
    </w:p>
    <w:p w14:paraId="1CED4EE9" w14:textId="42C73BD9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Наличие коротких разделов – разделов</w:t>
      </w:r>
      <w:r w:rsidR="00050BB5">
        <w:rPr>
          <w:rFonts w:ascii="Times New Roman" w:hAnsi="Times New Roman"/>
          <w:color w:val="FF0000"/>
          <w:sz w:val="28"/>
          <w:szCs w:val="28"/>
        </w:rPr>
        <w:t>,</w:t>
      </w:r>
      <w:r w:rsidRPr="00A10BEC">
        <w:rPr>
          <w:rFonts w:ascii="Times New Roman" w:hAnsi="Times New Roman"/>
          <w:color w:val="FF0000"/>
          <w:sz w:val="28"/>
          <w:szCs w:val="28"/>
        </w:rPr>
        <w:t xml:space="preserve"> состоящих менее чем из трёх предложений.</w:t>
      </w:r>
    </w:p>
    <w:p w14:paraId="4AEAE607" w14:textId="7AEEBFAC" w:rsidR="00E660BC" w:rsidRPr="000B30C7" w:rsidRDefault="000B30C7" w:rsidP="00E660BC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Описание модели оценки «правильности» научной статьи</w:t>
      </w:r>
    </w:p>
    <w:p w14:paraId="28594E54" w14:textId="2C5C4993" w:rsidR="003226A4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Наглядным способом оценки на соответствие идеалу является шкала, в связи с чем «правильность» научной статьи – числовое 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Оценка по данной шкале будет получаться по формуле:</w:t>
      </w:r>
    </w:p>
    <w:p w14:paraId="6B7F657D" w14:textId="1F308BC5" w:rsidR="00D35B24" w:rsidRPr="00D35B24" w:rsidRDefault="00D35B2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D35B24">
        <w:rPr>
          <w:rFonts w:ascii="Times New Roman" w:eastAsia="Times New Roman" w:hAnsi="Times New Roman"/>
          <w:color w:val="FF0000"/>
          <w:sz w:val="28"/>
          <w:szCs w:val="28"/>
        </w:rPr>
        <w:t>БУДЕТ ПОДРОБНО РАСПИСАНО ПОСЛЕ РЕАЛИЗАЦИИ БОЛЬШЕГО КОЛ_ВА ПРОВЕРОК</w:t>
      </w:r>
    </w:p>
    <w:p w14:paraId="08E5E025" w14:textId="051EBF8A" w:rsidR="00E660BC" w:rsidRDefault="00E660BC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11C97AE" w14:textId="77777777" w:rsidR="000E0119" w:rsidRDefault="000E0119" w:rsidP="000B30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75B5421" w14:textId="79BB7AB0" w:rsidR="000B30C7" w:rsidRPr="000B30C7" w:rsidRDefault="000B30C7" w:rsidP="000B30C7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Заключение</w:t>
      </w:r>
    </w:p>
    <w:p w14:paraId="1DFE3DFD" w14:textId="0B3CB7E0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42485412" w14:textId="77777777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676FEC9A" w14:textId="77777777" w:rsidR="00407058" w:rsidRPr="00C64C45" w:rsidRDefault="00407058" w:rsidP="00C64C45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690E533" w14:textId="4475EF29" w:rsidR="007D2B91" w:rsidRPr="0039581B" w:rsidRDefault="007D2B91" w:rsidP="00C64C45">
      <w:pPr>
        <w:pStyle w:val="Heading1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7" w:name="_Toc7039647"/>
      <w:r w:rsidRPr="00C64C45">
        <w:rPr>
          <w:rFonts w:ascii="Times New Roman" w:hAnsi="Times New Roman"/>
          <w:sz w:val="28"/>
          <w:szCs w:val="28"/>
          <w:lang w:eastAsia="ru-RU"/>
        </w:rPr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7"/>
    </w:p>
    <w:p w14:paraId="17C08393" w14:textId="495B868A" w:rsidR="00E660BC" w:rsidRPr="00C64C45" w:rsidRDefault="00624EED" w:rsidP="00C64C45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Использованные технологии</w:t>
      </w:r>
    </w:p>
    <w:p w14:paraId="143A9F82" w14:textId="77CCC476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универсальная платформа разработки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58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https://github.com/dotnet/core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52BD710F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59" w:history="1">
        <w:r w:rsidR="00F57F25"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https://github.com/aspnet/AspNetCore</w:t>
        </w:r>
      </w:hyperlink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02B6630D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7FFEAD19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фреймворк для создания динамических веб-страниц с явным разделением ответственности [</w:t>
      </w:r>
      <w:hyperlink r:id="rId60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https://en.wikipedia.org/wiki/Separation_of_concerns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[ссылка],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684385ED" w14:textId="58B0C800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131BD931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0BE339D8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Object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relational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mapper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)[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1C3FA353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Архитектура решения</w:t>
      </w:r>
    </w:p>
    <w:p w14:paraId="3387DD1B" w14:textId="276FB73E" w:rsidR="00273343" w:rsidRPr="00C64C45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A86AF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D57BED" wp14:editId="47CBE717">
            <wp:extent cx="5940425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C6A" w14:textId="746D2B81" w:rsidR="00273343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Сценарии использования</w:t>
      </w:r>
    </w:p>
    <w:p w14:paraId="1B2ADF03" w14:textId="49C0BD6E" w:rsidR="00A86AF3" w:rsidRPr="00A86AF3" w:rsidRDefault="00A86AF3" w:rsidP="00A86AF3">
      <w:pPr>
        <w:pStyle w:val="ListParagraph"/>
        <w:spacing w:after="0" w:line="360" w:lineRule="auto"/>
        <w:ind w:left="1069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Тут по сути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один сценарий,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добавяться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только ответвления вначале, при загрузке-добавлении настроек проверки</w:t>
      </w:r>
    </w:p>
    <w:p w14:paraId="188A5CE4" w14:textId="4D0B8685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Описание алгоритмов работы</w:t>
      </w:r>
    </w:p>
    <w:p w14:paraId="100A0D65" w14:textId="16EB0679" w:rsidR="00947062" w:rsidRP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Получение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</w:p>
    <w:p w14:paraId="5163FF89" w14:textId="17EA6008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текста</w:t>
      </w:r>
    </w:p>
    <w:p w14:paraId="604957E2" w14:textId="7F53A120" w:rsidR="00A86AF3" w:rsidRDefault="00A86AF3" w:rsidP="00A86AF3">
      <w:pPr>
        <w:pStyle w:val="ListParagraph"/>
        <w:numPr>
          <w:ilvl w:val="3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86AF3">
        <w:rPr>
          <w:rFonts w:ascii="Times New Roman" w:hAnsi="Times New Roman"/>
          <w:sz w:val="28"/>
          <w:szCs w:val="28"/>
          <w:lang w:eastAsia="ru-RU"/>
        </w:rPr>
        <w:t>Морфологический анализ слов текста</w:t>
      </w:r>
    </w:p>
    <w:p w14:paraId="46593A37" w14:textId="61DDB541" w:rsidR="00A86AF3" w:rsidRDefault="00A86AF3" w:rsidP="00A86AF3">
      <w:pPr>
        <w:pStyle w:val="ListParagraph"/>
        <w:numPr>
          <w:ilvl w:val="3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Выделение предложений</w:t>
      </w:r>
    </w:p>
    <w:p w14:paraId="23653D35" w14:textId="60568F7C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Вычисление числовых критериев</w:t>
      </w:r>
    </w:p>
    <w:p w14:paraId="73CB84E0" w14:textId="6ED091F1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стилистических ошибок в тексте</w:t>
      </w:r>
    </w:p>
    <w:p w14:paraId="527BC25C" w14:textId="07146982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структурных ошибок в тексте</w:t>
      </w:r>
    </w:p>
    <w:p w14:paraId="35204C10" w14:textId="1BDFC50F" w:rsidR="00A86AF3" w:rsidRDefault="00A86AF3" w:rsidP="00A86AF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Исследование решения</w:t>
      </w:r>
    </w:p>
    <w:p w14:paraId="7297A318" w14:textId="0726CB44" w:rsidR="00A86AF3" w:rsidRPr="00A86AF3" w:rsidRDefault="00A86AF3" w:rsidP="00A86AF3">
      <w:pPr>
        <w:spacing w:after="0" w:line="360" w:lineRule="auto"/>
        <w:ind w:left="709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A86AF3">
        <w:rPr>
          <w:rFonts w:ascii="Times New Roman" w:hAnsi="Times New Roman"/>
          <w:color w:val="FF0000"/>
          <w:sz w:val="28"/>
          <w:szCs w:val="28"/>
          <w:lang w:eastAsia="ru-RU"/>
        </w:rPr>
        <w:t>Не понял</w:t>
      </w:r>
    </w:p>
    <w:p w14:paraId="6CB0A4D2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FAFF0E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C2BC350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5F09448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7534D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782BA4" w14:textId="77777777" w:rsidR="00CA5B02" w:rsidRPr="00736416" w:rsidRDefault="00CA5B02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8" w:name="_Toc7039649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8"/>
    </w:p>
    <w:p w14:paraId="4D4D60F6" w14:textId="77777777" w:rsidR="00D6158F" w:rsidRDefault="00D6158F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2C8D9FC0" w14:textId="77777777" w:rsidR="00E26705" w:rsidRDefault="00227C4C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50364F2F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888E06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BD4EC0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82FC08" w14:textId="77777777" w:rsidR="00FE0C35" w:rsidRDefault="00FE0C35" w:rsidP="00FE0C35">
      <w:pPr>
        <w:spacing w:after="0" w:line="36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2DD6">
        <w:rPr>
          <w:rFonts w:ascii="Times New Roman" w:hAnsi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ИСПОЛЬЗОВАННЫХ ИСТОЧНИКОВ</w:t>
      </w:r>
    </w:p>
    <w:p w14:paraId="100BA86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A486E08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7B1F0FD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4076E9B6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CF0AFC1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4147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43C032E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D52D300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6D75984A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360414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EB5E88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3A6A724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B66BB9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F383DF8" w14:textId="77777777" w:rsidR="00FE0C35" w:rsidRP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BAE14F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6C7E2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0EEA8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79363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EDFF1E" w14:textId="77777777" w:rsidR="0079355F" w:rsidRPr="00466E81" w:rsidRDefault="0079355F" w:rsidP="00C403A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sectPr w:rsidR="0079355F" w:rsidRPr="00466E81" w:rsidSect="00326457">
      <w:footerReference w:type="default" r:id="rId6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9A274" w14:textId="77777777" w:rsidR="007A62C6" w:rsidRDefault="007A62C6" w:rsidP="00D15E4D">
      <w:pPr>
        <w:spacing w:after="0" w:line="240" w:lineRule="auto"/>
      </w:pPr>
      <w:r>
        <w:separator/>
      </w:r>
    </w:p>
  </w:endnote>
  <w:endnote w:type="continuationSeparator" w:id="0">
    <w:p w14:paraId="26AA45C5" w14:textId="77777777" w:rsidR="007A62C6" w:rsidRDefault="007A62C6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ED7C52" w:rsidRDefault="00ED7C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ED7C52" w:rsidRDefault="00ED7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D4D26" w14:textId="77777777" w:rsidR="007A62C6" w:rsidRDefault="007A62C6" w:rsidP="00D15E4D">
      <w:pPr>
        <w:spacing w:after="0" w:line="240" w:lineRule="auto"/>
      </w:pPr>
      <w:r>
        <w:separator/>
      </w:r>
    </w:p>
  </w:footnote>
  <w:footnote w:type="continuationSeparator" w:id="0">
    <w:p w14:paraId="054F6392" w14:textId="77777777" w:rsidR="007A62C6" w:rsidRDefault="007A62C6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D3B53"/>
    <w:multiLevelType w:val="hybridMultilevel"/>
    <w:tmpl w:val="18F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91F20"/>
    <w:multiLevelType w:val="multilevel"/>
    <w:tmpl w:val="93E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F11849"/>
    <w:multiLevelType w:val="multilevel"/>
    <w:tmpl w:val="CC4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596A0A"/>
    <w:multiLevelType w:val="hybridMultilevel"/>
    <w:tmpl w:val="A05A0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46B2A"/>
    <w:multiLevelType w:val="multilevel"/>
    <w:tmpl w:val="6A1631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 w15:restartNumberingAfterBreak="0">
    <w:nsid w:val="172F0CB9"/>
    <w:multiLevelType w:val="hybridMultilevel"/>
    <w:tmpl w:val="48FA3592"/>
    <w:lvl w:ilvl="0" w:tplc="80605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A12CF0"/>
    <w:multiLevelType w:val="hybridMultilevel"/>
    <w:tmpl w:val="6FA0BFA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9213F4"/>
    <w:multiLevelType w:val="hybridMultilevel"/>
    <w:tmpl w:val="65FAA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B47F7E"/>
    <w:multiLevelType w:val="hybridMultilevel"/>
    <w:tmpl w:val="102C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5030D"/>
    <w:multiLevelType w:val="multilevel"/>
    <w:tmpl w:val="6A3C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8140D"/>
    <w:multiLevelType w:val="hybridMultilevel"/>
    <w:tmpl w:val="9C0C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92B22"/>
    <w:multiLevelType w:val="hybridMultilevel"/>
    <w:tmpl w:val="5286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72781"/>
    <w:multiLevelType w:val="hybridMultilevel"/>
    <w:tmpl w:val="B2EEDA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5827A02"/>
    <w:multiLevelType w:val="hybridMultilevel"/>
    <w:tmpl w:val="E430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D132E"/>
    <w:multiLevelType w:val="hybridMultilevel"/>
    <w:tmpl w:val="DFCE6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1652DF"/>
    <w:multiLevelType w:val="hybridMultilevel"/>
    <w:tmpl w:val="07F2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4150E"/>
    <w:multiLevelType w:val="hybridMultilevel"/>
    <w:tmpl w:val="2718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527B3"/>
    <w:multiLevelType w:val="hybridMultilevel"/>
    <w:tmpl w:val="70028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C3152"/>
    <w:multiLevelType w:val="multilevel"/>
    <w:tmpl w:val="4A565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5A03C68"/>
    <w:multiLevelType w:val="hybridMultilevel"/>
    <w:tmpl w:val="1FBA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5638A"/>
    <w:multiLevelType w:val="hybridMultilevel"/>
    <w:tmpl w:val="844E0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C0642"/>
    <w:multiLevelType w:val="hybridMultilevel"/>
    <w:tmpl w:val="7F86A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89507FD"/>
    <w:multiLevelType w:val="hybridMultilevel"/>
    <w:tmpl w:val="23CA83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7D3279"/>
    <w:multiLevelType w:val="hybridMultilevel"/>
    <w:tmpl w:val="3BFE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1" w15:restartNumberingAfterBreak="0">
    <w:nsid w:val="613A370D"/>
    <w:multiLevelType w:val="hybridMultilevel"/>
    <w:tmpl w:val="3FE838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947E82"/>
    <w:multiLevelType w:val="hybridMultilevel"/>
    <w:tmpl w:val="4B58D9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4D0FA1"/>
    <w:multiLevelType w:val="hybridMultilevel"/>
    <w:tmpl w:val="B036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7B2F3A"/>
    <w:multiLevelType w:val="hybridMultilevel"/>
    <w:tmpl w:val="E50827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21F53C6"/>
    <w:multiLevelType w:val="multilevel"/>
    <w:tmpl w:val="2F94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5B0470"/>
    <w:multiLevelType w:val="hybridMultilevel"/>
    <w:tmpl w:val="AF225C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905F3"/>
    <w:multiLevelType w:val="hybridMultilevel"/>
    <w:tmpl w:val="DAE0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754C8"/>
    <w:multiLevelType w:val="hybridMultilevel"/>
    <w:tmpl w:val="8D9290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3" w15:restartNumberingAfterBreak="0">
    <w:nsid w:val="7908034D"/>
    <w:multiLevelType w:val="hybridMultilevel"/>
    <w:tmpl w:val="03788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73C43"/>
    <w:multiLevelType w:val="hybridMultilevel"/>
    <w:tmpl w:val="53BA68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FC218B9"/>
    <w:multiLevelType w:val="hybridMultilevel"/>
    <w:tmpl w:val="2C90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5"/>
  </w:num>
  <w:num w:numId="4">
    <w:abstractNumId w:val="7"/>
  </w:num>
  <w:num w:numId="5">
    <w:abstractNumId w:val="39"/>
  </w:num>
  <w:num w:numId="6">
    <w:abstractNumId w:val="13"/>
  </w:num>
  <w:num w:numId="7">
    <w:abstractNumId w:val="28"/>
  </w:num>
  <w:num w:numId="8">
    <w:abstractNumId w:val="38"/>
  </w:num>
  <w:num w:numId="9">
    <w:abstractNumId w:val="0"/>
  </w:num>
  <w:num w:numId="10">
    <w:abstractNumId w:val="4"/>
  </w:num>
  <w:num w:numId="11">
    <w:abstractNumId w:val="20"/>
  </w:num>
  <w:num w:numId="12">
    <w:abstractNumId w:val="44"/>
  </w:num>
  <w:num w:numId="13">
    <w:abstractNumId w:val="43"/>
  </w:num>
  <w:num w:numId="14">
    <w:abstractNumId w:val="22"/>
  </w:num>
  <w:num w:numId="15">
    <w:abstractNumId w:val="9"/>
  </w:num>
  <w:num w:numId="16">
    <w:abstractNumId w:val="2"/>
  </w:num>
  <w:num w:numId="17">
    <w:abstractNumId w:val="24"/>
  </w:num>
  <w:num w:numId="18">
    <w:abstractNumId w:val="35"/>
  </w:num>
  <w:num w:numId="19">
    <w:abstractNumId w:val="25"/>
  </w:num>
  <w:num w:numId="20">
    <w:abstractNumId w:val="16"/>
  </w:num>
  <w:num w:numId="21">
    <w:abstractNumId w:val="18"/>
  </w:num>
  <w:num w:numId="22">
    <w:abstractNumId w:val="21"/>
  </w:num>
  <w:num w:numId="23">
    <w:abstractNumId w:val="12"/>
  </w:num>
  <w:num w:numId="24">
    <w:abstractNumId w:val="46"/>
  </w:num>
  <w:num w:numId="25">
    <w:abstractNumId w:val="6"/>
  </w:num>
  <w:num w:numId="26">
    <w:abstractNumId w:val="17"/>
  </w:num>
  <w:num w:numId="27">
    <w:abstractNumId w:val="41"/>
  </w:num>
  <w:num w:numId="28">
    <w:abstractNumId w:val="42"/>
  </w:num>
  <w:num w:numId="29">
    <w:abstractNumId w:val="40"/>
  </w:num>
  <w:num w:numId="30">
    <w:abstractNumId w:val="26"/>
  </w:num>
  <w:num w:numId="31">
    <w:abstractNumId w:val="37"/>
  </w:num>
  <w:num w:numId="32">
    <w:abstractNumId w:val="8"/>
  </w:num>
  <w:num w:numId="33">
    <w:abstractNumId w:val="34"/>
  </w:num>
  <w:num w:numId="34">
    <w:abstractNumId w:val="29"/>
  </w:num>
  <w:num w:numId="35">
    <w:abstractNumId w:val="45"/>
  </w:num>
  <w:num w:numId="36">
    <w:abstractNumId w:val="32"/>
  </w:num>
  <w:num w:numId="37">
    <w:abstractNumId w:val="31"/>
  </w:num>
  <w:num w:numId="38">
    <w:abstractNumId w:val="33"/>
  </w:num>
  <w:num w:numId="39">
    <w:abstractNumId w:val="30"/>
  </w:num>
  <w:num w:numId="40">
    <w:abstractNumId w:val="11"/>
  </w:num>
  <w:num w:numId="41">
    <w:abstractNumId w:val="27"/>
  </w:num>
  <w:num w:numId="42">
    <w:abstractNumId w:val="1"/>
  </w:num>
  <w:num w:numId="43">
    <w:abstractNumId w:val="36"/>
  </w:num>
  <w:num w:numId="44">
    <w:abstractNumId w:val="19"/>
  </w:num>
  <w:num w:numId="45">
    <w:abstractNumId w:val="10"/>
  </w:num>
  <w:num w:numId="46">
    <w:abstractNumId w:val="5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59E6"/>
    <w:rsid w:val="000066A4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74F3"/>
    <w:rsid w:val="00060843"/>
    <w:rsid w:val="00066B2E"/>
    <w:rsid w:val="0007209D"/>
    <w:rsid w:val="000739B6"/>
    <w:rsid w:val="00076157"/>
    <w:rsid w:val="0008045D"/>
    <w:rsid w:val="00082151"/>
    <w:rsid w:val="0008472A"/>
    <w:rsid w:val="00086233"/>
    <w:rsid w:val="00086FFC"/>
    <w:rsid w:val="00087F40"/>
    <w:rsid w:val="00091C7D"/>
    <w:rsid w:val="0009228D"/>
    <w:rsid w:val="00093EA4"/>
    <w:rsid w:val="00097BE9"/>
    <w:rsid w:val="000A176B"/>
    <w:rsid w:val="000A44DE"/>
    <w:rsid w:val="000A6D02"/>
    <w:rsid w:val="000A7B12"/>
    <w:rsid w:val="000A7EBF"/>
    <w:rsid w:val="000B0304"/>
    <w:rsid w:val="000B1719"/>
    <w:rsid w:val="000B30C7"/>
    <w:rsid w:val="000B40E0"/>
    <w:rsid w:val="000B597D"/>
    <w:rsid w:val="000B72B0"/>
    <w:rsid w:val="000B7C3E"/>
    <w:rsid w:val="000C0531"/>
    <w:rsid w:val="000C1396"/>
    <w:rsid w:val="000C23EE"/>
    <w:rsid w:val="000C2CA7"/>
    <w:rsid w:val="000C34E5"/>
    <w:rsid w:val="000C5096"/>
    <w:rsid w:val="000C5920"/>
    <w:rsid w:val="000C76B0"/>
    <w:rsid w:val="000D5983"/>
    <w:rsid w:val="000D5BEB"/>
    <w:rsid w:val="000D5DFE"/>
    <w:rsid w:val="000D5E09"/>
    <w:rsid w:val="000D6A25"/>
    <w:rsid w:val="000D717C"/>
    <w:rsid w:val="000E0119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662E"/>
    <w:rsid w:val="00153A77"/>
    <w:rsid w:val="0015583A"/>
    <w:rsid w:val="00161632"/>
    <w:rsid w:val="00163B34"/>
    <w:rsid w:val="0016614C"/>
    <w:rsid w:val="0016704F"/>
    <w:rsid w:val="001702D2"/>
    <w:rsid w:val="00172509"/>
    <w:rsid w:val="00173D21"/>
    <w:rsid w:val="00174CF8"/>
    <w:rsid w:val="00176BBC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3AFF"/>
    <w:rsid w:val="001A6C14"/>
    <w:rsid w:val="001A7D48"/>
    <w:rsid w:val="001B0233"/>
    <w:rsid w:val="001B0CBA"/>
    <w:rsid w:val="001B2935"/>
    <w:rsid w:val="001B3D10"/>
    <w:rsid w:val="001B793C"/>
    <w:rsid w:val="001C02CC"/>
    <w:rsid w:val="001C1DE9"/>
    <w:rsid w:val="001C7212"/>
    <w:rsid w:val="001C7E9F"/>
    <w:rsid w:val="001D0004"/>
    <w:rsid w:val="001D3D48"/>
    <w:rsid w:val="001D6271"/>
    <w:rsid w:val="001E56D9"/>
    <w:rsid w:val="001F202C"/>
    <w:rsid w:val="001F5154"/>
    <w:rsid w:val="001F56B2"/>
    <w:rsid w:val="001F68FA"/>
    <w:rsid w:val="001F7226"/>
    <w:rsid w:val="00203B54"/>
    <w:rsid w:val="002043C1"/>
    <w:rsid w:val="00204F9F"/>
    <w:rsid w:val="002060AA"/>
    <w:rsid w:val="00206DF7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4C5D"/>
    <w:rsid w:val="0023792F"/>
    <w:rsid w:val="00237FFE"/>
    <w:rsid w:val="002403AB"/>
    <w:rsid w:val="00241603"/>
    <w:rsid w:val="002441E0"/>
    <w:rsid w:val="00247580"/>
    <w:rsid w:val="00252714"/>
    <w:rsid w:val="002569DD"/>
    <w:rsid w:val="0025796F"/>
    <w:rsid w:val="00257EF4"/>
    <w:rsid w:val="00262791"/>
    <w:rsid w:val="00262A92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4019"/>
    <w:rsid w:val="002864D1"/>
    <w:rsid w:val="002914D5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43EE"/>
    <w:rsid w:val="002C1A65"/>
    <w:rsid w:val="002C3BEA"/>
    <w:rsid w:val="002C6D0E"/>
    <w:rsid w:val="002C7CC7"/>
    <w:rsid w:val="002D0C76"/>
    <w:rsid w:val="002D1378"/>
    <w:rsid w:val="002D337A"/>
    <w:rsid w:val="002D414C"/>
    <w:rsid w:val="002D58F1"/>
    <w:rsid w:val="002D5AD4"/>
    <w:rsid w:val="002E12C8"/>
    <w:rsid w:val="002E1D43"/>
    <w:rsid w:val="002E3D30"/>
    <w:rsid w:val="002E558B"/>
    <w:rsid w:val="002E68FF"/>
    <w:rsid w:val="002F108A"/>
    <w:rsid w:val="002F19EB"/>
    <w:rsid w:val="002F4D2E"/>
    <w:rsid w:val="002F5877"/>
    <w:rsid w:val="002F7F60"/>
    <w:rsid w:val="00302456"/>
    <w:rsid w:val="00314295"/>
    <w:rsid w:val="00314CBE"/>
    <w:rsid w:val="00317019"/>
    <w:rsid w:val="003171C5"/>
    <w:rsid w:val="003226A4"/>
    <w:rsid w:val="0032328F"/>
    <w:rsid w:val="00326457"/>
    <w:rsid w:val="00335132"/>
    <w:rsid w:val="00337973"/>
    <w:rsid w:val="00341B45"/>
    <w:rsid w:val="00345ABD"/>
    <w:rsid w:val="00346CE9"/>
    <w:rsid w:val="00347434"/>
    <w:rsid w:val="00353997"/>
    <w:rsid w:val="003611BC"/>
    <w:rsid w:val="003655E8"/>
    <w:rsid w:val="003659DF"/>
    <w:rsid w:val="003670A1"/>
    <w:rsid w:val="00367380"/>
    <w:rsid w:val="00370A96"/>
    <w:rsid w:val="00373858"/>
    <w:rsid w:val="00375492"/>
    <w:rsid w:val="00385BA9"/>
    <w:rsid w:val="00387481"/>
    <w:rsid w:val="0039096B"/>
    <w:rsid w:val="00390E4F"/>
    <w:rsid w:val="003922C4"/>
    <w:rsid w:val="0039359A"/>
    <w:rsid w:val="0039581B"/>
    <w:rsid w:val="003A6A71"/>
    <w:rsid w:val="003B0DF0"/>
    <w:rsid w:val="003B271D"/>
    <w:rsid w:val="003B2F9D"/>
    <w:rsid w:val="003B43DE"/>
    <w:rsid w:val="003B446A"/>
    <w:rsid w:val="003B55BF"/>
    <w:rsid w:val="003B77DD"/>
    <w:rsid w:val="003C6040"/>
    <w:rsid w:val="003C6B90"/>
    <w:rsid w:val="003C6CA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5017"/>
    <w:rsid w:val="00406294"/>
    <w:rsid w:val="00406B22"/>
    <w:rsid w:val="00407058"/>
    <w:rsid w:val="0041277D"/>
    <w:rsid w:val="00417003"/>
    <w:rsid w:val="0042008A"/>
    <w:rsid w:val="00420621"/>
    <w:rsid w:val="004209DA"/>
    <w:rsid w:val="00424CBD"/>
    <w:rsid w:val="00427024"/>
    <w:rsid w:val="004276E4"/>
    <w:rsid w:val="004277F9"/>
    <w:rsid w:val="004307A0"/>
    <w:rsid w:val="00430DFD"/>
    <w:rsid w:val="0043291E"/>
    <w:rsid w:val="004338C5"/>
    <w:rsid w:val="0043481D"/>
    <w:rsid w:val="004403AF"/>
    <w:rsid w:val="004406E7"/>
    <w:rsid w:val="00440A29"/>
    <w:rsid w:val="00441D4F"/>
    <w:rsid w:val="004429F9"/>
    <w:rsid w:val="004457CD"/>
    <w:rsid w:val="00445E41"/>
    <w:rsid w:val="00445E82"/>
    <w:rsid w:val="00452C86"/>
    <w:rsid w:val="004537ED"/>
    <w:rsid w:val="0045444E"/>
    <w:rsid w:val="00456F8A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98E"/>
    <w:rsid w:val="00493439"/>
    <w:rsid w:val="00493C57"/>
    <w:rsid w:val="0049463D"/>
    <w:rsid w:val="004972E3"/>
    <w:rsid w:val="004A05C0"/>
    <w:rsid w:val="004A49CC"/>
    <w:rsid w:val="004B2606"/>
    <w:rsid w:val="004B4B22"/>
    <w:rsid w:val="004B537C"/>
    <w:rsid w:val="004B5819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500CB6"/>
    <w:rsid w:val="00504E91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7622"/>
    <w:rsid w:val="00561D79"/>
    <w:rsid w:val="00564460"/>
    <w:rsid w:val="00564ED9"/>
    <w:rsid w:val="005659FA"/>
    <w:rsid w:val="00566034"/>
    <w:rsid w:val="00570E64"/>
    <w:rsid w:val="0057444D"/>
    <w:rsid w:val="005808A6"/>
    <w:rsid w:val="00585772"/>
    <w:rsid w:val="005904B8"/>
    <w:rsid w:val="0059172E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6776"/>
    <w:rsid w:val="005E7950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105C0"/>
    <w:rsid w:val="00612AA5"/>
    <w:rsid w:val="00613F00"/>
    <w:rsid w:val="0061583D"/>
    <w:rsid w:val="00617BF1"/>
    <w:rsid w:val="00620D58"/>
    <w:rsid w:val="00620F19"/>
    <w:rsid w:val="00624EED"/>
    <w:rsid w:val="006301D7"/>
    <w:rsid w:val="006302E6"/>
    <w:rsid w:val="00632E35"/>
    <w:rsid w:val="00633252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910E5"/>
    <w:rsid w:val="00691CA4"/>
    <w:rsid w:val="006A022C"/>
    <w:rsid w:val="006A0EE8"/>
    <w:rsid w:val="006A2DC6"/>
    <w:rsid w:val="006B19A7"/>
    <w:rsid w:val="006B42FC"/>
    <w:rsid w:val="006B467B"/>
    <w:rsid w:val="006B5244"/>
    <w:rsid w:val="006C1D60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6F49"/>
    <w:rsid w:val="006F6814"/>
    <w:rsid w:val="00700647"/>
    <w:rsid w:val="0070140B"/>
    <w:rsid w:val="00706432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674"/>
    <w:rsid w:val="0074760E"/>
    <w:rsid w:val="007509F9"/>
    <w:rsid w:val="00752A36"/>
    <w:rsid w:val="00752D07"/>
    <w:rsid w:val="00754ED5"/>
    <w:rsid w:val="007602CE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32EF"/>
    <w:rsid w:val="00784CEA"/>
    <w:rsid w:val="00784D80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A62C6"/>
    <w:rsid w:val="007B1182"/>
    <w:rsid w:val="007B1B20"/>
    <w:rsid w:val="007B789A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754"/>
    <w:rsid w:val="007F43D2"/>
    <w:rsid w:val="007F46BC"/>
    <w:rsid w:val="007F533E"/>
    <w:rsid w:val="007F53F2"/>
    <w:rsid w:val="007F6E6A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894"/>
    <w:rsid w:val="00857478"/>
    <w:rsid w:val="00857AD9"/>
    <w:rsid w:val="008604DF"/>
    <w:rsid w:val="00866D1F"/>
    <w:rsid w:val="00867E77"/>
    <w:rsid w:val="00867F54"/>
    <w:rsid w:val="008712BF"/>
    <w:rsid w:val="008722AE"/>
    <w:rsid w:val="0087235B"/>
    <w:rsid w:val="00874615"/>
    <w:rsid w:val="00880778"/>
    <w:rsid w:val="008813F9"/>
    <w:rsid w:val="008827CE"/>
    <w:rsid w:val="008828E2"/>
    <w:rsid w:val="00883E1B"/>
    <w:rsid w:val="0088436E"/>
    <w:rsid w:val="0089308F"/>
    <w:rsid w:val="008934C7"/>
    <w:rsid w:val="008949BB"/>
    <w:rsid w:val="00895B5E"/>
    <w:rsid w:val="008960C5"/>
    <w:rsid w:val="008A0B2F"/>
    <w:rsid w:val="008A2005"/>
    <w:rsid w:val="008A52A5"/>
    <w:rsid w:val="008B65BF"/>
    <w:rsid w:val="008C0D30"/>
    <w:rsid w:val="008D2B54"/>
    <w:rsid w:val="008D3A89"/>
    <w:rsid w:val="008D5C1C"/>
    <w:rsid w:val="008E08DB"/>
    <w:rsid w:val="008E189E"/>
    <w:rsid w:val="008E255F"/>
    <w:rsid w:val="008E6835"/>
    <w:rsid w:val="008F35F4"/>
    <w:rsid w:val="008F3CB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5DDE"/>
    <w:rsid w:val="009165A0"/>
    <w:rsid w:val="00920730"/>
    <w:rsid w:val="00922503"/>
    <w:rsid w:val="00922639"/>
    <w:rsid w:val="00927135"/>
    <w:rsid w:val="00932DD6"/>
    <w:rsid w:val="009364D0"/>
    <w:rsid w:val="0094030B"/>
    <w:rsid w:val="009458E9"/>
    <w:rsid w:val="00947062"/>
    <w:rsid w:val="00947D67"/>
    <w:rsid w:val="0095001F"/>
    <w:rsid w:val="009513FB"/>
    <w:rsid w:val="00951999"/>
    <w:rsid w:val="00952FB1"/>
    <w:rsid w:val="00960A56"/>
    <w:rsid w:val="00966DF7"/>
    <w:rsid w:val="0097327D"/>
    <w:rsid w:val="0097335E"/>
    <w:rsid w:val="00973631"/>
    <w:rsid w:val="009752E9"/>
    <w:rsid w:val="0097645E"/>
    <w:rsid w:val="00976E8C"/>
    <w:rsid w:val="00980615"/>
    <w:rsid w:val="0098230D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FFC"/>
    <w:rsid w:val="009D17C4"/>
    <w:rsid w:val="009D1BBF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44BF"/>
    <w:rsid w:val="009F6F92"/>
    <w:rsid w:val="009F7B02"/>
    <w:rsid w:val="00A02518"/>
    <w:rsid w:val="00A04856"/>
    <w:rsid w:val="00A10BEC"/>
    <w:rsid w:val="00A12803"/>
    <w:rsid w:val="00A132FE"/>
    <w:rsid w:val="00A178E0"/>
    <w:rsid w:val="00A17D8F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8D1"/>
    <w:rsid w:val="00A51B4C"/>
    <w:rsid w:val="00A53657"/>
    <w:rsid w:val="00A56A14"/>
    <w:rsid w:val="00A614C2"/>
    <w:rsid w:val="00A630B9"/>
    <w:rsid w:val="00A6310B"/>
    <w:rsid w:val="00A707F6"/>
    <w:rsid w:val="00A720E8"/>
    <w:rsid w:val="00A72257"/>
    <w:rsid w:val="00A76263"/>
    <w:rsid w:val="00A80298"/>
    <w:rsid w:val="00A81C0F"/>
    <w:rsid w:val="00A8277A"/>
    <w:rsid w:val="00A85146"/>
    <w:rsid w:val="00A86AF3"/>
    <w:rsid w:val="00A87339"/>
    <w:rsid w:val="00A8783C"/>
    <w:rsid w:val="00A952C1"/>
    <w:rsid w:val="00AA2957"/>
    <w:rsid w:val="00AA5A4D"/>
    <w:rsid w:val="00AB0849"/>
    <w:rsid w:val="00AB268D"/>
    <w:rsid w:val="00AB496D"/>
    <w:rsid w:val="00AC09DA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D74"/>
    <w:rsid w:val="00B664E7"/>
    <w:rsid w:val="00B731C9"/>
    <w:rsid w:val="00B738A6"/>
    <w:rsid w:val="00B763C2"/>
    <w:rsid w:val="00B84266"/>
    <w:rsid w:val="00B86AE9"/>
    <w:rsid w:val="00B9397D"/>
    <w:rsid w:val="00B94C27"/>
    <w:rsid w:val="00B974D8"/>
    <w:rsid w:val="00B9769A"/>
    <w:rsid w:val="00B97B26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94B"/>
    <w:rsid w:val="00BC4E34"/>
    <w:rsid w:val="00BC7003"/>
    <w:rsid w:val="00BC705E"/>
    <w:rsid w:val="00BD13E4"/>
    <w:rsid w:val="00BD13E5"/>
    <w:rsid w:val="00BD7DE6"/>
    <w:rsid w:val="00BE062C"/>
    <w:rsid w:val="00BE06E0"/>
    <w:rsid w:val="00BE2EDE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492C"/>
    <w:rsid w:val="00C3775A"/>
    <w:rsid w:val="00C403A7"/>
    <w:rsid w:val="00C47B6A"/>
    <w:rsid w:val="00C519AB"/>
    <w:rsid w:val="00C547F0"/>
    <w:rsid w:val="00C54F63"/>
    <w:rsid w:val="00C55012"/>
    <w:rsid w:val="00C57B3E"/>
    <w:rsid w:val="00C61EDA"/>
    <w:rsid w:val="00C64C45"/>
    <w:rsid w:val="00C67E8D"/>
    <w:rsid w:val="00C7418A"/>
    <w:rsid w:val="00C747E1"/>
    <w:rsid w:val="00C7576E"/>
    <w:rsid w:val="00C759B0"/>
    <w:rsid w:val="00C86092"/>
    <w:rsid w:val="00C86702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926"/>
    <w:rsid w:val="00CE7EBD"/>
    <w:rsid w:val="00CF047D"/>
    <w:rsid w:val="00CF2B0C"/>
    <w:rsid w:val="00CF406D"/>
    <w:rsid w:val="00CF60F4"/>
    <w:rsid w:val="00CF6CFC"/>
    <w:rsid w:val="00CF7A05"/>
    <w:rsid w:val="00D0290B"/>
    <w:rsid w:val="00D03B47"/>
    <w:rsid w:val="00D0438E"/>
    <w:rsid w:val="00D052BC"/>
    <w:rsid w:val="00D06EC6"/>
    <w:rsid w:val="00D078B2"/>
    <w:rsid w:val="00D11205"/>
    <w:rsid w:val="00D12A4F"/>
    <w:rsid w:val="00D15E4D"/>
    <w:rsid w:val="00D173F2"/>
    <w:rsid w:val="00D20D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4A10"/>
    <w:rsid w:val="00D60E87"/>
    <w:rsid w:val="00D6158F"/>
    <w:rsid w:val="00D65496"/>
    <w:rsid w:val="00D66E16"/>
    <w:rsid w:val="00D70EE2"/>
    <w:rsid w:val="00D7151A"/>
    <w:rsid w:val="00D72024"/>
    <w:rsid w:val="00D7700B"/>
    <w:rsid w:val="00D770E5"/>
    <w:rsid w:val="00D81832"/>
    <w:rsid w:val="00D8237C"/>
    <w:rsid w:val="00D82840"/>
    <w:rsid w:val="00D8395D"/>
    <w:rsid w:val="00D90155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F0151"/>
    <w:rsid w:val="00DF05B4"/>
    <w:rsid w:val="00DF08D2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22446"/>
    <w:rsid w:val="00E23580"/>
    <w:rsid w:val="00E24C3B"/>
    <w:rsid w:val="00E26705"/>
    <w:rsid w:val="00E3060C"/>
    <w:rsid w:val="00E316D4"/>
    <w:rsid w:val="00E31AF2"/>
    <w:rsid w:val="00E335B2"/>
    <w:rsid w:val="00E40151"/>
    <w:rsid w:val="00E43ECE"/>
    <w:rsid w:val="00E448DF"/>
    <w:rsid w:val="00E44EF6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A62"/>
    <w:rsid w:val="00EA6410"/>
    <w:rsid w:val="00EA6594"/>
    <w:rsid w:val="00EA7E3E"/>
    <w:rsid w:val="00EB0419"/>
    <w:rsid w:val="00EC2473"/>
    <w:rsid w:val="00EC68DF"/>
    <w:rsid w:val="00EC6A98"/>
    <w:rsid w:val="00ED150D"/>
    <w:rsid w:val="00ED4DFA"/>
    <w:rsid w:val="00ED7C52"/>
    <w:rsid w:val="00EE00B5"/>
    <w:rsid w:val="00EE509E"/>
    <w:rsid w:val="00EE5738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438C"/>
    <w:rsid w:val="00F04F01"/>
    <w:rsid w:val="00F05741"/>
    <w:rsid w:val="00F05A16"/>
    <w:rsid w:val="00F066BE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2431"/>
    <w:rsid w:val="00F630EF"/>
    <w:rsid w:val="00F64A66"/>
    <w:rsid w:val="00F663E9"/>
    <w:rsid w:val="00F72F5B"/>
    <w:rsid w:val="00F73276"/>
    <w:rsid w:val="00F7537E"/>
    <w:rsid w:val="00F825B1"/>
    <w:rsid w:val="00F82FA8"/>
    <w:rsid w:val="00F83EB7"/>
    <w:rsid w:val="00F872DE"/>
    <w:rsid w:val="00F924AA"/>
    <w:rsid w:val="00F92CED"/>
    <w:rsid w:val="00F9502A"/>
    <w:rsid w:val="00F9680A"/>
    <w:rsid w:val="00FA0FA2"/>
    <w:rsid w:val="00FA33D4"/>
    <w:rsid w:val="00FA35D6"/>
    <w:rsid w:val="00FA4931"/>
    <w:rsid w:val="00FA73BF"/>
    <w:rsid w:val="00FB6ACD"/>
    <w:rsid w:val="00FC7F3C"/>
    <w:rsid w:val="00FD1F4B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A1E"/>
    <w:rsid w:val="00FF004D"/>
    <w:rsid w:val="00FF0FB2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10.bin"/><Relationship Id="rId11" Type="http://schemas.openxmlformats.org/officeDocument/2006/relationships/hyperlink" Target="https://ru.wikipedia.org/wiki/&#1043;&#1080;&#1087;&#1086;&#1090;&#1077;&#1079;&#1072;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hyperlink" Target="https://github.com/dotnet/core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0.png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6.wmf"/><Relationship Id="rId59" Type="http://schemas.openxmlformats.org/officeDocument/2006/relationships/hyperlink" Target="https://github.com/aspnet/AspNetCore" TargetMode="Externa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hyperlink" Target="https://en.wikipedia.org/wiki/Separation_of_concer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5EFA-76A8-41F4-933C-4EA22E03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29</Pages>
  <Words>4730</Words>
  <Characters>26965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31632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518</cp:revision>
  <cp:lastPrinted>2019-05-06T02:55:00Z</cp:lastPrinted>
  <dcterms:created xsi:type="dcterms:W3CDTF">2017-05-25T22:55:00Z</dcterms:created>
  <dcterms:modified xsi:type="dcterms:W3CDTF">2019-05-06T22:27:00Z</dcterms:modified>
</cp:coreProperties>
</file>