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44"/>
          <w:szCs w:val="44"/>
        </w:rPr>
        <w:t xml:space="preserve">AI-XRay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Executive Summary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Plantilla — Clase 4: Laboratorio Práctico Dirigido (Proyecto Final Independiente)</w:t>
      </w:r>
    </w:p>
    <w:p>
      <w:pPr>
        <w:pBdr>
          <w:top w:val="single" w:color="C0504D" w:sz="6"/>
          <w:bottom w:val="single" w:color="C0504D" w:sz="6"/>
          <w:left w:val="single" w:color="C0504D" w:sz="6"/>
          <w:right w:val="single" w:color="C0504D" w:sz="6"/>
        </w:pBdr>
        <w:shd w:fill="FDEDED" w:val="clear"/>
        <w:spacing w:after="120" w:before="120"/>
      </w:pPr>
      <w:r>
        <w:rPr>
          <w:b/>
          <w:bCs/>
          <w:color w:val="9B2D2D"/>
        </w:rPr>
        <w:t xml:space="preserve">Aviso: este sistema es un proyecto académico de inteligencia artificial y no constituye un diagnóstico médico ni sustituye la evaluación de un profesional de la salud.</w:t>
      </w:r>
    </w:p>
    <w:p>
      <w:pPr>
        <w:spacing w:after="240" w:before="160"/>
      </w:pPr>
      <w:r>
        <w:rPr>
          <w:i/>
          <w:iCs/>
          <w:color w:val="666666"/>
          <w:sz w:val="20"/>
          <w:szCs w:val="20"/>
        </w:rPr>
        <w:t xml:space="preserve">Instrucciones: reemplaza los párrafos en cursiva por tu propio contenido. Extensión sugerida del documento completo: 2-3 páginas. Todas las cifras de las secciones 5 y 6 deben salir directamente de tus runs registrados en MLflow, no estimarse de memoria.</w:t>
      </w:r>
    </w:p>
    <w:p>
      <w:pPr>
        <w:pStyle w:val="Heading1"/>
        <w:spacing w:after="120" w:before="320"/>
      </w:pPr>
      <w:r>
        <w:rPr>
          <w:b/>
          <w:bCs/>
          <w:color w:val="1F4E5F"/>
        </w:rPr>
        <w:t xml:space="preserve">1. Problema</w:t>
      </w:r>
    </w:p>
    <w:p>
      <w:pPr>
        <w:spacing w:after="120"/>
      </w:pPr>
      <w:r>
        <w:rPr>
          <w:i/>
          <w:iCs/>
          <w:color w:val="555555"/>
        </w:rPr>
        <w:t xml:space="preserve">¿Qué problema real resuelve este sistema y para quién? (3-4 líneas)</w:t>
      </w:r>
    </w:p>
    <w:p>
      <w:pPr>
        <w:pBdr>
          <w:left w:val="single" w:color="CCCCCC" w:sz="12" w:space="8"/>
        </w:pBdr>
        <w:spacing w:after="240"/>
      </w:pPr>
      <w:r>
        <w:rPr>
          <w:i/>
          <w:iCs/>
          <w:color w:val="999999"/>
        </w:rPr>
        <w:t xml:space="preserve">[Ejemplo de referencia: la clasificación manual de radiografías de tórax pediátricas para detectar neumonía depende de la disponibilidad de un radiólogo y puede tomar horas en contextos con recursos limitados. AI-XRay explora si un clasificador automático puede servir como una segunda lectura de apoyo, priorizando casos para revisión.]</w:t>
      </w:r>
    </w:p>
    <w:p>
      <w:pPr>
        <w:pStyle w:val="Heading1"/>
        <w:spacing w:after="120" w:before="320"/>
      </w:pPr>
      <w:r>
        <w:rPr>
          <w:b/>
          <w:bCs/>
          <w:color w:val="1F4E5F"/>
        </w:rPr>
        <w:t xml:space="preserve">2. Datos</w:t>
      </w:r>
    </w:p>
    <w:p>
      <w:pPr>
        <w:spacing w:after="120"/>
      </w:pPr>
      <w:r>
        <w:rPr>
          <w:i/>
          <w:iCs/>
          <w:color w:val="555555"/>
        </w:rPr>
        <w:t xml:space="preserve">¿Qué dataset se usó, cuántas imágenes, y qué limitaciones tiene? (incluye la fuga de datos detectada)</w:t>
      </w:r>
    </w:p>
    <w:p>
      <w:pPr>
        <w:pBdr>
          <w:left w:val="single" w:color="CCCCCC" w:sz="12" w:space="8"/>
        </w:pBdr>
        <w:spacing w:after="240"/>
      </w:pPr>
      <w:r>
        <w:rPr>
          <w:i/>
          <w:iCs/>
          <w:color w:val="999999"/>
        </w:rPr>
        <w:t xml:space="preserve">[Ejemplo de referencia: Pediatric Chest X-ray Pneumonia (Kermany et al., 2018, vía Kaggle), 5,856 imágenes (1,583 NORMAL / 4,273 PNEUMONIA). Se detectó fuga de datos a nivel paciente en el split original del dataset (el mismo paciente aparece en train y test); se construyó un split propio 70/15/15 agrupado por paciente para mitigarlo.]</w:t>
      </w:r>
    </w:p>
    <w:p>
      <w:pPr>
        <w:pStyle w:val="Heading1"/>
        <w:spacing w:after="120" w:before="320"/>
      </w:pPr>
      <w:r>
        <w:rPr>
          <w:b/>
          <w:bCs/>
          <w:color w:val="1F4E5F"/>
        </w:rPr>
        <w:t xml:space="preserve">3. Arquitectura técnica y justificación</w:t>
      </w:r>
    </w:p>
    <w:p>
      <w:pPr>
        <w:spacing w:after="120"/>
      </w:pPr>
      <w:r>
        <w:rPr>
          <w:i/>
          <w:iCs/>
          <w:color w:val="555555"/>
        </w:rPr>
        <w:t xml:space="preserve">¿Qué se construyó (procesamiento, modelo, tracking, servicio) y por qué esta arquitectura y no otra alternativa?</w:t>
      </w:r>
    </w:p>
    <w:p>
      <w:pPr>
        <w:pBdr>
          <w:left w:val="single" w:color="CCCCCC" w:sz="12" w:space="8"/>
        </w:pBdr>
        <w:spacing w:after="240"/>
      </w:pPr>
      <w:r>
        <w:rPr>
          <w:i/>
          <w:iCs/>
          <w:color w:val="999999"/>
        </w:rPr>
        <w:t xml:space="preserve">[Ejemplo de referencia: se descartó entrenar una CNN desde cero por el tamaño limitado del dataset (miles, no millones, de imágenes); se eligió Transfer Learning con ResNet50 preentrenada en ImageNet, entrenada en dos fases (clasificador congelado, luego fine-tuning de las últimas capas) para adaptar los filtros al dominio de rayos X sin perder los features genéricos aprendidos.]</w:t>
      </w:r>
    </w:p>
    <w:p>
      <w:pPr>
        <w:pStyle w:val="Heading1"/>
        <w:spacing w:after="120" w:before="320"/>
      </w:pPr>
      <w:r>
        <w:rPr>
          <w:b/>
          <w:bCs/>
          <w:color w:val="1F4E5F"/>
        </w:rPr>
        <w:t xml:space="preserve">4. Modelo</w:t>
      </w:r>
    </w:p>
    <w:p>
      <w:pPr>
        <w:spacing w:after="120"/>
      </w:pPr>
      <w:r>
        <w:rPr>
          <w:i/>
          <w:iCs/>
          <w:color w:val="555555"/>
        </w:rPr>
        <w:t xml:space="preserve">Arquitectura específica, hiperparámetros del modelo elegido.</w:t>
      </w:r>
    </w:p>
    <w:p>
      <w:pPr>
        <w:pBdr>
          <w:left w:val="single" w:color="CCCCCC" w:sz="12" w:space="8"/>
        </w:pBdr>
        <w:spacing w:after="240"/>
      </w:pPr>
      <w:r>
        <w:rPr>
          <w:i/>
          <w:iCs/>
          <w:color w:val="999999"/>
        </w:rPr>
        <w:t xml:space="preserve">[Ejemplo de referencia: ResNet50 (sin top) + GlobalAveragePooling2D + Dropout(0.3) + Dense(1, sigmoid). Optimizador Adam, learning rate 1e-3 en la fase congelada, EarlyStopping y ReduceLROnPlateau activos.]</w:t>
      </w:r>
    </w:p>
    <w:p>
      <w:pPr>
        <w:pStyle w:val="Heading1"/>
        <w:spacing w:after="120" w:before="320"/>
      </w:pPr>
      <w:r>
        <w:rPr>
          <w:b/>
          <w:bCs/>
          <w:color w:val="1F4E5F"/>
        </w:rPr>
        <w:t xml:space="preserve">5. Resultados y evidencia</w:t>
      </w:r>
    </w:p>
    <w:p>
      <w:pPr>
        <w:spacing w:after="120"/>
      </w:pPr>
      <w:r>
        <w:rPr>
          <w:i/>
          <w:iCs/>
          <w:color w:val="555555"/>
        </w:rPr>
        <w:t xml:space="preserve">Métricas del mejor modelo, tomadas directo de MLflow (no solo Accuracy).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468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Valor (mejor run)</w:t>
            </w:r>
          </w:p>
        </w:tc>
      </w:tr>
      <w:tr>
        <w:tc>
          <w:tcPr>
            <w:tcW w:type="dxa" w:w="4680"/>
          </w:tcPr>
          <w:p>
            <w:r>
              <w:t xml:space="preserve">Accuracy</w:t>
            </w:r>
          </w:p>
        </w:tc>
        <w:tc>
          <w:tcPr>
            <w:tcW w:type="dxa" w:w="4680"/>
          </w:tcPr>
          <w:p>
            <w:r>
              <w:t xml:space="preserve">[completar]</w:t>
            </w:r>
          </w:p>
        </w:tc>
      </w:tr>
      <w:tr>
        <w:tc>
          <w:tcPr>
            <w:tcW w:type="dxa" w:w="4680"/>
          </w:tcPr>
          <w:p>
            <w:r>
              <w:t xml:space="preserve">Precision</w:t>
            </w:r>
          </w:p>
        </w:tc>
        <w:tc>
          <w:tcPr>
            <w:tcW w:type="dxa" w:w="4680"/>
          </w:tcPr>
          <w:p>
            <w:r>
              <w:t xml:space="preserve">[completar]</w:t>
            </w:r>
          </w:p>
        </w:tc>
      </w:tr>
      <w:tr>
        <w:tc>
          <w:tcPr>
            <w:tcW w:type="dxa" w:w="4680"/>
          </w:tcPr>
          <w:p>
            <w:r>
              <w:t xml:space="preserve">Recall</w:t>
            </w:r>
          </w:p>
        </w:tc>
        <w:tc>
          <w:tcPr>
            <w:tcW w:type="dxa" w:w="4680"/>
          </w:tcPr>
          <w:p>
            <w:r>
              <w:t xml:space="preserve">[completar]</w:t>
            </w:r>
          </w:p>
        </w:tc>
      </w:tr>
      <w:tr>
        <w:tc>
          <w:tcPr>
            <w:tcW w:type="dxa" w:w="4680"/>
          </w:tcPr>
          <w:p>
            <w:r>
              <w:t xml:space="preserve">F1-score</w:t>
            </w:r>
          </w:p>
        </w:tc>
        <w:tc>
          <w:tcPr>
            <w:tcW w:type="dxa" w:w="4680"/>
          </w:tcPr>
          <w:p>
            <w:r>
              <w:t xml:space="preserve">[completar]</w:t>
            </w:r>
          </w:p>
        </w:tc>
      </w:tr>
      <w:tr>
        <w:tc>
          <w:tcPr>
            <w:tcW w:type="dxa" w:w="4680"/>
          </w:tcPr>
          <w:p>
            <w:r>
              <w:t xml:space="preserve">ROC-AUC</w:t>
            </w:r>
          </w:p>
        </w:tc>
        <w:tc>
          <w:tcPr>
            <w:tcW w:type="dxa" w:w="4680"/>
          </w:tcPr>
          <w:p>
            <w:r>
              <w:t xml:space="preserve">[completar]</w:t>
            </w:r>
          </w:p>
        </w:tc>
      </w:tr>
    </w:tbl>
    <w:p>
      <w:pPr>
        <w:spacing w:before="200"/>
      </w:pPr>
    </w:p>
    <w:p>
      <w:pPr>
        <w:pStyle w:val="Heading1"/>
        <w:spacing w:after="120" w:before="320"/>
      </w:pPr>
      <w:r>
        <w:rPr>
          <w:b/>
          <w:bCs/>
          <w:color w:val="1F4E5F"/>
        </w:rPr>
        <w:t xml:space="preserve">6. Experimentos</w:t>
      </w:r>
    </w:p>
    <w:p>
      <w:pPr>
        <w:spacing w:after="120"/>
      </w:pPr>
      <w:r>
        <w:rPr>
          <w:i/>
          <w:iCs/>
          <w:color w:val="555555"/>
        </w:rPr>
        <w:t xml:space="preserve">Comparación de las variantes entrenadas -- la evidencia detrás de la elección del mejor modelo.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800"/>
        <w:gridCol w:w="1300"/>
        <w:gridCol w:w="1280"/>
        <w:gridCol w:w="1280"/>
      </w:tblGrid>
      <w:tr>
        <w:trPr>
          <w:tblHeader/>
        </w:trPr>
        <w:tc>
          <w:tcPr>
            <w:tcW w:type="dxa" w:w="7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Run</w:t>
            </w:r>
          </w:p>
        </w:tc>
        <w:tc>
          <w:tcPr>
            <w:tcW w:type="dxa" w:w="30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Arquitectura</w:t>
            </w:r>
          </w:p>
        </w:tc>
        <w:tc>
          <w:tcPr>
            <w:tcW w:type="dxa" w:w="18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Learning rate</w:t>
            </w:r>
          </w:p>
        </w:tc>
        <w:tc>
          <w:tcPr>
            <w:tcW w:type="dxa" w:w="13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Dropout</w:t>
            </w:r>
          </w:p>
        </w:tc>
        <w:tc>
          <w:tcPr>
            <w:tcW w:type="dxa" w:w="128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F1-score</w:t>
            </w:r>
          </w:p>
        </w:tc>
        <w:tc>
          <w:tcPr>
            <w:tcW w:type="dxa" w:w="128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AUC</w:t>
            </w:r>
          </w:p>
        </w:tc>
      </w:tr>
      <w:tr>
        <w:tc>
          <w:tcPr>
            <w:tcW w:type="dxa" w:w="700"/>
          </w:tcPr>
          <w:p>
            <w:r>
              <w:t xml:space="preserve">1</w:t>
            </w:r>
          </w:p>
        </w:tc>
        <w:tc>
          <w:tcPr>
            <w:tcW w:type="dxa" w:w="3000"/>
          </w:tcPr>
          <w:p>
            <w:r>
              <w:t xml:space="preserve">ResNet50 congelado</w:t>
            </w:r>
          </w:p>
        </w:tc>
        <w:tc>
          <w:tcPr>
            <w:tcW w:type="dxa" w:w="1800"/>
          </w:tcPr>
          <w:p>
            <w:r>
              <w:t xml:space="preserve">0.001</w:t>
            </w:r>
          </w:p>
        </w:tc>
        <w:tc>
          <w:tcPr>
            <w:tcW w:type="dxa" w:w="1300"/>
          </w:tcPr>
          <w:p>
            <w:r>
              <w:t xml:space="preserve">0.3</w:t>
            </w:r>
          </w:p>
        </w:tc>
        <w:tc>
          <w:tcPr>
            <w:tcW w:type="dxa" w:w="1280"/>
          </w:tcPr>
          <w:p>
            <w:r>
              <w:t xml:space="preserve">[completar]</w:t>
            </w:r>
          </w:p>
        </w:tc>
        <w:tc>
          <w:tcPr>
            <w:tcW w:type="dxa" w:w="1280"/>
          </w:tcPr>
          <w:p>
            <w:r>
              <w:t xml:space="preserve">[completar]</w:t>
            </w:r>
          </w:p>
        </w:tc>
      </w:tr>
      <w:tr>
        <w:tc>
          <w:tcPr>
            <w:tcW w:type="dxa" w:w="700"/>
          </w:tcPr>
          <w:p>
            <w:r>
              <w:t xml:space="preserve">2</w:t>
            </w:r>
          </w:p>
        </w:tc>
        <w:tc>
          <w:tcPr>
            <w:tcW w:type="dxa" w:w="3000"/>
          </w:tcPr>
          <w:p>
            <w:r>
              <w:t xml:space="preserve">ResNet50 congelado</w:t>
            </w:r>
          </w:p>
        </w:tc>
        <w:tc>
          <w:tcPr>
            <w:tcW w:type="dxa" w:w="1800"/>
          </w:tcPr>
          <w:p>
            <w:r>
              <w:t xml:space="preserve">0.0001</w:t>
            </w:r>
          </w:p>
        </w:tc>
        <w:tc>
          <w:tcPr>
            <w:tcW w:type="dxa" w:w="1300"/>
          </w:tcPr>
          <w:p>
            <w:r>
              <w:t xml:space="preserve">0.5</w:t>
            </w:r>
          </w:p>
        </w:tc>
        <w:tc>
          <w:tcPr>
            <w:tcW w:type="dxa" w:w="1280"/>
          </w:tcPr>
          <w:p>
            <w:r>
              <w:t xml:space="preserve">[completar]</w:t>
            </w:r>
          </w:p>
        </w:tc>
        <w:tc>
          <w:tcPr>
            <w:tcW w:type="dxa" w:w="1280"/>
          </w:tcPr>
          <w:p>
            <w:r>
              <w:t xml:space="preserve">[completar]</w:t>
            </w:r>
          </w:p>
        </w:tc>
      </w:tr>
      <w:tr>
        <w:tc>
          <w:tcPr>
            <w:tcW w:type="dxa" w:w="700"/>
          </w:tcPr>
          <w:p>
            <w:r>
              <w:t xml:space="preserve">3</w:t>
            </w:r>
          </w:p>
        </w:tc>
        <w:tc>
          <w:tcPr>
            <w:tcW w:type="dxa" w:w="3000"/>
          </w:tcPr>
          <w:p>
            <w:r>
              <w:t xml:space="preserve">ResNet50 + Fine-tuning</w:t>
            </w:r>
          </w:p>
        </w:tc>
        <w:tc>
          <w:tcPr>
            <w:tcW w:type="dxa" w:w="1800"/>
          </w:tcPr>
          <w:p>
            <w:r>
              <w:t xml:space="preserve">0.00001</w:t>
            </w:r>
          </w:p>
        </w:tc>
        <w:tc>
          <w:tcPr>
            <w:tcW w:type="dxa" w:w="1300"/>
          </w:tcPr>
          <w:p>
            <w:r>
              <w:t xml:space="preserve">0.3</w:t>
            </w:r>
          </w:p>
        </w:tc>
        <w:tc>
          <w:tcPr>
            <w:tcW w:type="dxa" w:w="1280"/>
          </w:tcPr>
          <w:p>
            <w:r>
              <w:t xml:space="preserve">[completar]</w:t>
            </w:r>
          </w:p>
        </w:tc>
        <w:tc>
          <w:tcPr>
            <w:tcW w:type="dxa" w:w="1280"/>
          </w:tcPr>
          <w:p>
            <w:r>
              <w:t xml:space="preserve">[completar]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F4E5F"/>
        </w:rPr>
        <w:t xml:space="preserve">7. Mejor modelo</w:t>
      </w:r>
    </w:p>
    <w:p>
      <w:pPr>
        <w:spacing w:after="120"/>
      </w:pPr>
      <w:r>
        <w:rPr>
          <w:i/>
          <w:iCs/>
          <w:color w:val="555555"/>
        </w:rPr>
        <w:t xml:space="preserve">¿Cuál run se registró y promovió a Staging, y por qué ese y no otro?</w:t>
      </w:r>
    </w:p>
    <w:p>
      <w:pPr>
        <w:pBdr>
          <w:left w:val="single" w:color="CCCCCC" w:sz="12" w:space="8"/>
        </w:pBdr>
        <w:spacing w:after="240"/>
      </w:pPr>
      <w:r>
        <w:rPr>
          <w:i/>
          <w:iCs/>
          <w:color w:val="999999"/>
        </w:rPr>
        <w:t xml:space="preserve">[Ejemplo de referencia: se seleccionó el Run 1 (F1-score más alto, sin sacrificar Recall de la clase PNEUMONIA), registrado como 'aixray_pneumonia_classifier' versión 1 y promovido a Staging en el Model Registry de MLflow.]</w:t>
      </w:r>
    </w:p>
    <w:p>
      <w:pPr>
        <w:pStyle w:val="Heading1"/>
        <w:spacing w:after="120" w:before="320"/>
      </w:pPr>
      <w:r>
        <w:rPr>
          <w:b/>
          <w:bCs/>
          <w:color w:val="1F4E5F"/>
        </w:rPr>
        <w:t xml:space="preserve">8. Arquitectura de producción</w:t>
      </w:r>
    </w:p>
    <w:p>
      <w:pPr>
        <w:spacing w:after="120"/>
      </w:pPr>
      <w:r>
        <w:rPr>
          <w:i/>
          <w:iCs/>
          <w:color w:val="555555"/>
        </w:rPr>
        <w:t xml:space="preserve">¿Cómo se serviría el modelo (API) y qué le falta para producción real?</w:t>
      </w:r>
    </w:p>
    <w:p>
      <w:pPr>
        <w:pBdr>
          <w:left w:val="single" w:color="CCCCCC" w:sz="12" w:space="8"/>
        </w:pBdr>
        <w:spacing w:after="240"/>
      </w:pPr>
      <w:r>
        <w:rPr>
          <w:i/>
          <w:iCs/>
          <w:color w:val="999999"/>
        </w:rPr>
        <w:t xml:space="preserve">[Ejemplo de referencia: el modelo se sirve con una API REST en FastAPI (POST /predict, GET /health), corrida directamente con uvicorn -- sin frontend. Para producción real faltaría: empaquetarla en un contenedor para desplegarla de forma reproducible, autenticación en la API, monitoreo de deriva del modelo (data drift), y un pipeline de reentrenamiento periódico.]</w:t>
      </w:r>
    </w:p>
    <w:p>
      <w:pPr>
        <w:pStyle w:val="Heading1"/>
        <w:spacing w:after="120" w:before="320"/>
      </w:pPr>
      <w:r>
        <w:rPr>
          <w:b/>
          <w:bCs/>
          <w:color w:val="1F4E5F"/>
        </w:rPr>
        <w:t xml:space="preserve">9. Limitaciones</w:t>
      </w:r>
    </w:p>
    <w:p>
      <w:pPr>
        <w:spacing w:after="120"/>
      </w:pPr>
      <w:r>
        <w:rPr>
          <w:i/>
          <w:iCs/>
          <w:color w:val="555555"/>
        </w:rPr>
        <w:t xml:space="preserve">Fuga de datos, tamaño del dataset, sesgos posibles, y el aviso de que esto no es una herramienta de diagnóstico médico.</w:t>
      </w:r>
    </w:p>
    <w:p>
      <w:pPr>
        <w:pBdr>
          <w:left w:val="single" w:color="CCCCCC" w:sz="12" w:space="8"/>
        </w:pBdr>
        <w:spacing w:after="240"/>
      </w:pPr>
      <w:r>
        <w:rPr>
          <w:i/>
          <w:iCs/>
          <w:color w:val="999999"/>
        </w:rPr>
        <w:t xml:space="preserve">[Ejemplo de referencia: (1) el agrupamiento por paciente para evitar fuga de datos solo se pudo aplicar completamente a la clase PNEUMONIA, no a NORMAL, por falta de un identificador de paciente confiable en esas imágenes; (2) el dataset proviene de un solo centro médico (Guangzhou Women and Children's Medical Center), por lo que el modelo podría no generalizar a equipos de rayos X o poblaciones distintas; (3) este sistema es un proyecto académico y no constituye un diagnóstico médico ni sustituye la evaluación de un profesional de la salud.]</w:t>
      </w:r>
    </w:p>
    <w:p>
      <w:pPr>
        <w:pStyle w:val="Heading1"/>
        <w:spacing w:after="120" w:before="320"/>
      </w:pPr>
      <w:r>
        <w:rPr>
          <w:b/>
          <w:bCs/>
          <w:color w:val="1F4E5F"/>
        </w:rPr>
        <w:t xml:space="preserve">10. Impacto potencial</w:t>
      </w:r>
    </w:p>
    <w:p>
      <w:pPr>
        <w:spacing w:after="120"/>
      </w:pPr>
      <w:r>
        <w:rPr>
          <w:i/>
          <w:iCs/>
          <w:color w:val="555555"/>
        </w:rPr>
        <w:t xml:space="preserve">¿Qué cambiaría en el flujo de trabajo si esto se usara? (sin sobre-prometer)</w:t>
      </w:r>
    </w:p>
    <w:p>
      <w:pPr>
        <w:pBdr>
          <w:left w:val="single" w:color="CCCCCC" w:sz="12" w:space="8"/>
        </w:pBdr>
        <w:spacing w:after="240"/>
      </w:pPr>
      <w:r>
        <w:rPr>
          <w:i/>
          <w:iCs/>
          <w:color w:val="999999"/>
        </w:rPr>
        <w:t xml:space="preserve">[Ejemplo de referencia: como herramienta de apoyo a la priorización (no de diagnóstico), un clasificador con este nivel de recall podría ayudar a priorizar qué radiografías revisar primero en un contexto de alto volumen y personal médico limitado -- el impacto real solo podría cuantificarse con una validación clínica formal, fuera del alcance de este proyecto académico.]</w:t>
      </w:r>
    </w:p>
    <w:p>
      <w:pPr>
        <w:pBdr>
          <w:top w:val="single" w:color="CCCCCC" w:sz="4"/>
        </w:pBdr>
        <w:spacing w:before="300"/>
      </w:pPr>
    </w:p>
    <w:p>
      <w:pPr>
        <w:spacing w:before="160"/>
      </w:pPr>
      <w:r>
        <w:rPr>
          <w:b/>
          <w:bCs/>
          <w:sz w:val="20"/>
          <w:szCs w:val="20"/>
        </w:rPr>
        <w:t xml:space="preserve">Cita del dataset</w:t>
      </w:r>
    </w:p>
    <w:p>
      <w:pPr>
        <w:spacing w:after="40"/>
      </w:pPr>
      <w:r>
        <w:rPr>
          <w:color w:val="666666"/>
          <w:sz w:val="18"/>
          <w:szCs w:val="18"/>
        </w:rPr>
        <w:t xml:space="preserve">Kermany D, Goldbaum M, Cai W, et al. Identifying Medical Diagnoses and Treatable Diseases by Image-Based Deep Learning. Cell. 2018;172(5):1122-1131. doi:10.1016/j.cell.2018.02.010</w:t>
      </w:r>
    </w:p>
    <w:p>
      <w:r>
        <w:rPr>
          <w:color w:val="666666"/>
          <w:sz w:val="18"/>
          <w:szCs w:val="18"/>
        </w:rPr>
        <w:t xml:space="preserve">Kermany, Daniel; Zhang, Kang; Goldbaum, Michael (2018), "Labeled Optical Coherence Tomography (OCT) and Chest X-Ray Images for Classification", Mendeley Data, v2. http://dx.doi.org/10.17632/rscbjbr9sj.2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2026-08-16T23:52:39.181Z</dcterms:created>
  <dcterms:modified xsi:type="dcterms:W3CDTF">2026-08-16T23:52:39.181Z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