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b/>
          <w:color w:val="2E5B88"/>
          <w:sz w:val="22"/>
        </w:rPr>
        <w:t>UNIVERSIDAD AUTÓNOMA DE OCCIDENTE — FACULTAD DE INGENIERÍA</w:t>
        <w:br/>
      </w:r>
      <w:r>
        <w:rPr>
          <w:rFonts w:ascii="Calibri" w:hAnsi="Calibri"/>
          <w:b/>
          <w:color w:val="646464"/>
          <w:sz w:val="22"/>
        </w:rPr>
        <w:t>PROYECTO INFORMÁTICO 2 — MÓDULO 3: CONSTRUCCIÓN ÁGIL DEL MVP</w:t>
        <w:br/>
      </w:r>
    </w:p>
    <w:p>
      <w:pPr>
        <w:spacing w:after="360"/>
        <w:jc w:val="center"/>
      </w:pPr>
      <w:r>
        <w:rPr>
          <w:rFonts w:ascii="Calibri" w:hAnsi="Calibri"/>
          <w:b/>
          <w:color w:val="1B365D"/>
          <w:sz w:val="44"/>
        </w:rPr>
        <w:t>ENTREGA 3A: ESPECIFICACIÓN Y PLAN DE PROYECTO</w:t>
        <w:br/>
      </w:r>
      <w:r>
        <w:rPr>
          <w:rFonts w:ascii="Calibri" w:hAnsi="Calibri"/>
          <w:color w:val="2E5B88"/>
          <w:sz w:val="28"/>
        </w:rPr>
        <w:t>Plataforma Red de Rescate de Alimentos (Cali, Colombia)</w:t>
        <w:br/>
        <w:t>Caso: Fundación Mesa Común</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Borders>
              <w:left w:val="single" w:sz="24" w:space="0" w:color="1B365D"/>
              <w:top w:val="none"/>
              <w:right w:val="none"/>
              <w:bottom w:val="none"/>
            </w:tcBorders>
          </w:tcPr>
          <w:p>
            <w:pPr>
              <w:spacing w:before="0" w:after="40" w:line="276" w:lineRule="auto"/>
            </w:pPr>
            <w:r>
              <w:rPr>
                <w:rFonts w:ascii="Calibri" w:hAnsi="Calibri"/>
                <w:b/>
                <w:color w:val="1B365D"/>
                <w:sz w:val="20"/>
              </w:rPr>
              <w:t>INFORMACIÓN GENERAL DEL EQUIPO 3: NEXO CÍVICO STUDIO</w:t>
              <w:br/>
            </w:r>
            <w:r>
              <w:rPr>
                <w:rFonts w:ascii="Calibri" w:hAnsi="Calibri"/>
                <w:color w:val="323232"/>
                <w:sz w:val="19"/>
              </w:rPr>
              <w:t>Slogan: «Software de bajo impacto operativo, alta eficiencia social»</w:t>
              <w:br/>
              <w:t>Alternativa Técnica Ganadora (Módulo 2): Aplicación Web Progresiva (PWA) Serverless ($0 USD/mes de costo de infraestructura).</w:t>
              <w:br/>
              <w:t>Docente: César Augusto Navia Rojas | Fecha: Miércoles 7 de octubre de 2026 | Peso: 20% (Carácter Habilitante)</w:t>
            </w:r>
          </w:p>
        </w:tc>
      </w:tr>
    </w:tbl>
    <w:p>
      <w:pPr>
        <w:spacing w:after="120"/>
      </w:pPr>
    </w:p>
    <w:p>
      <w:pPr>
        <w:pStyle w:val="Heading2"/>
      </w:pPr>
      <w:r>
        <w:t>Integrantes del Equipo y Roles Declarados</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120"/>
        <w:gridCol w:w="3120"/>
        <w:gridCol w:w="3120"/>
      </w:tblGrid>
      <w:tr>
        <w:tc>
          <w:tcPr>
            <w:tcW w:type="dxa" w:w="2592"/>
            <w:shd w:fill="1B365D"/>
            <w:tcMar>
              <w:top w:w="120" w:type="dxa"/>
              <w:bottom w:w="120" w:type="dxa"/>
              <w:left w:w="140" w:type="dxa"/>
              <w:right w:w="140" w:type="dxa"/>
            </w:tcMar>
            <w:vAlign w:val="center"/>
          </w:tcPr>
          <w:p>
            <w:pPr>
              <w:spacing w:before="0" w:after="0" w:line="276" w:lineRule="auto"/>
              <w:jc w:val="left"/>
            </w:pPr>
            <w:r>
              <w:rPr>
                <w:rFonts w:ascii="Calibri" w:hAnsi="Calibri"/>
                <w:b/>
                <w:color w:val="FFFFFF"/>
                <w:sz w:val="20"/>
              </w:rPr>
              <w:t>Integrante</w:t>
            </w:r>
          </w:p>
        </w:tc>
        <w:tc>
          <w:tcPr>
            <w:tcW w:type="dxa" w:w="2592"/>
            <w:shd w:fill="1B365D"/>
            <w:tcMar>
              <w:top w:w="120" w:type="dxa"/>
              <w:bottom w:w="120" w:type="dxa"/>
              <w:left w:w="140" w:type="dxa"/>
              <w:right w:w="140" w:type="dxa"/>
            </w:tcMar>
            <w:vAlign w:val="center"/>
          </w:tcPr>
          <w:p>
            <w:pPr>
              <w:spacing w:before="0" w:after="0" w:line="276" w:lineRule="auto"/>
              <w:jc w:val="left"/>
            </w:pPr>
            <w:r>
              <w:rPr>
                <w:rFonts w:ascii="Calibri" w:hAnsi="Calibri"/>
                <w:b/>
                <w:color w:val="FFFFFF"/>
                <w:sz w:val="20"/>
              </w:rPr>
              <w:t>Rol Principal</w:t>
            </w:r>
          </w:p>
        </w:tc>
        <w:tc>
          <w:tcPr>
            <w:tcW w:type="dxa" w:w="4176"/>
            <w:shd w:fill="1B365D"/>
            <w:tcMar>
              <w:top w:w="120" w:type="dxa"/>
              <w:bottom w:w="120" w:type="dxa"/>
              <w:left w:w="140" w:type="dxa"/>
              <w:right w:w="140" w:type="dxa"/>
            </w:tcMar>
            <w:vAlign w:val="center"/>
          </w:tcPr>
          <w:p>
            <w:pPr>
              <w:spacing w:before="0" w:after="0" w:line="276" w:lineRule="auto"/>
              <w:jc w:val="left"/>
            </w:pPr>
            <w:r>
              <w:rPr>
                <w:rFonts w:ascii="Calibri" w:hAnsi="Calibri"/>
                <w:b/>
                <w:color w:val="FFFFFF"/>
                <w:sz w:val="20"/>
              </w:rPr>
              <w:t>Responsabilidad y Artefactos Entregables</w:t>
            </w:r>
          </w:p>
        </w:tc>
      </w:tr>
      <w:tr>
        <w:tc>
          <w:tcPr>
            <w:tcW w:type="dxa" w:w="259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Eduard Criollo Yule</w:t>
            </w:r>
          </w:p>
        </w:tc>
        <w:tc>
          <w:tcPr>
            <w:tcW w:type="dxa" w:w="259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Product Owner / Lead</w:t>
            </w:r>
          </w:p>
        </w:tc>
        <w:tc>
          <w:tcPr>
            <w:tcW w:type="dxa" w:w="417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Visión del producto, priorización del backlog en GitHub Projects, trazabilidad con Módulo 1 y articulación institucional.</w:t>
            </w:r>
          </w:p>
        </w:tc>
      </w:tr>
      <w:tr>
        <w:tc>
          <w:tcPr>
            <w:tcW w:type="dxa" w:w="2592"/>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Alejandro Rodríguez Cortés</w:t>
            </w:r>
          </w:p>
        </w:tc>
        <w:tc>
          <w:tcPr>
            <w:tcW w:type="dxa" w:w="2592"/>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Full-Stack Developer</w:t>
            </w:r>
          </w:p>
        </w:tc>
        <w:tc>
          <w:tcPr>
            <w:tcW w:type="dxa" w:w="4176"/>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Arquitectura frontend PWA (Next.js/Tailwind), flujos móviles de donación/catálogo y consumo de API Serverless.</w:t>
            </w:r>
          </w:p>
        </w:tc>
      </w:tr>
      <w:tr>
        <w:tc>
          <w:tcPr>
            <w:tcW w:type="dxa" w:w="259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Santiago Valencia Sandoval</w:t>
            </w:r>
          </w:p>
        </w:tc>
        <w:tc>
          <w:tcPr>
            <w:tcW w:type="dxa" w:w="259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Backend / Database Engineer</w:t>
            </w:r>
          </w:p>
        </w:tc>
        <w:tc>
          <w:tcPr>
            <w:tcW w:type="dxa" w:w="417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Modelado relacional PostgreSQL (Supabase), procedimientos RPC atómicos de bloqueo concurrente y persistencia IndexedDB.</w:t>
            </w:r>
          </w:p>
        </w:tc>
      </w:tr>
      <w:tr>
        <w:tc>
          <w:tcPr>
            <w:tcW w:type="dxa" w:w="2592"/>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Felipe Charria Caicedo</w:t>
            </w:r>
          </w:p>
        </w:tc>
        <w:tc>
          <w:tcPr>
            <w:tcW w:type="dxa" w:w="2592"/>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QA Engineer</w:t>
            </w:r>
          </w:p>
        </w:tc>
        <w:tc>
          <w:tcPr>
            <w:tcW w:type="dxa" w:w="4176"/>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Estrategia de pruebas de aceptación BDD (Gherkin), matrices de pruebas de concurrencia/estrés y verificación de DoR/DoD en PRs.</w:t>
            </w:r>
          </w:p>
        </w:tc>
      </w:tr>
      <w:tr>
        <w:tc>
          <w:tcPr>
            <w:tcW w:type="dxa" w:w="259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Juan Camilo Peña Sandoval</w:t>
            </w:r>
          </w:p>
        </w:tc>
        <w:tc>
          <w:tcPr>
            <w:tcW w:type="dxa" w:w="259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DevOps Engineer</w:t>
            </w:r>
          </w:p>
        </w:tc>
        <w:tc>
          <w:tcPr>
            <w:tcW w:type="dxa" w:w="417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Pipeline CI/CD en GitHub Actions, automatización de despliegue en Vercel y auditoría de límites de capa gratuita.</w:t>
            </w:r>
          </w:p>
        </w:tc>
      </w:tr>
      <w:tr>
        <w:tc>
          <w:tcPr>
            <w:tcW w:type="dxa" w:w="2592"/>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Juan Sebastián Delgado</w:t>
            </w:r>
          </w:p>
        </w:tc>
        <w:tc>
          <w:tcPr>
            <w:tcW w:type="dxa" w:w="2592"/>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UX Designer</w:t>
            </w:r>
          </w:p>
        </w:tc>
        <w:tc>
          <w:tcPr>
            <w:tcW w:type="dxa" w:w="4176"/>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Diseño de flujos móviles ultra-livianos (&lt;3 pasos), pruebas heurísticas de usabilidad para campo y accesibilidad WCAG 2.1.</w:t>
            </w:r>
          </w:p>
        </w:tc>
      </w:tr>
    </w:tbl>
    <w:p>
      <w:pPr>
        <w:spacing w:after="120"/>
      </w:pPr>
    </w:p>
    <w:p>
      <w:r>
        <w:br w:type="page"/>
      </w:r>
    </w:p>
    <w:p>
      <w:pPr>
        <w:pStyle w:val="Heading1"/>
        <w:spacing w:before="240"/>
      </w:pPr>
      <w:r>
        <w:t>1. Habilitadores y Constitución del Proyecto</w:t>
      </w:r>
    </w:p>
    <w:p>
      <w:r>
        <w:t>El entorno de desarrollo, versionamiento y gestión ágil del proyecto se encuentra plenamente configurado, operativo y con acceso de lectura activo para el cuerpo docente. Las decisiones organizacionales y técnicas quedan formalizadas bajo la Constitución del Equipo:</w:t>
      </w:r>
    </w:p>
    <w:p>
      <w:pPr>
        <w:pStyle w:val="Heading2"/>
      </w:pPr>
      <w:r>
        <w:t>1.1. Entorno de Desarrollo y Habilitadores Técnicos</w:t>
      </w:r>
    </w:p>
    <w:p>
      <w:r>
        <w:t>• Repositorio Oficial en GitHub: https://github.com/EduardCY/nexo-rescate-alimentos configurado con ramas protegidas (main, develop, spec) y plantillas para Pull Requests e Issues.</w:t>
        <w:br/>
        <w:t>• Tablero de Gestión: GitHub Projects con las cuatro columnas canónicas activas (Por hacer, En curso, En revisión, Terminado) y el Backlog de tareas atómicas cargado con estimaciones y responsables individuales.</w:t>
        <w:br/>
        <w:t>• Entorno de Despliegue en la Nube: Aplicación desplegada en Vercel (https://nexo-rescate-alimentos.vercel.app) conectada a la capa serverless gratuita de Supabase (PostgreSQL 15), garantizando $0 USD/mes de costo recurrente.</w:t>
        <w:br/>
        <w:t>• Permisos de Acceso: El docente César Augusto Navia Rojas cuenta con acceso de lectura e inspección tanto al repositorio como al tablero.</w:t>
      </w:r>
    </w:p>
    <w:p>
      <w:pPr>
        <w:pStyle w:val="Heading2"/>
      </w:pPr>
      <w:r>
        <w:t>1.2. Convenciones de Trabajo y Control de Versiones</w:t>
      </w:r>
    </w:p>
    <w:p>
      <w:r>
        <w:t>El equipo implementa un flujo Git Flow simplificado. Toda integración a 'main' requiere un Pull Request aprobado por un par técnico con rol distinto al autor. Los commits siguen la convención Conventional Commits en español:</w:t>
        <w:br/>
        <w:t>Formato: &lt;tipo&gt;(&lt;alcance&gt;): &lt;descripción imperativa en español&gt; [#&lt;ID_TAREA&gt;]</w:t>
        <w:br/>
        <w:t>Tipos válidos: feat (nueva funcionalidad), fix (corrección), docs (especificación/documentación), test (pruebas), chore (configuración).</w:t>
        <w:br/>
        <w:t>Ejemplo: feat(concurrencia): implementar procedimiento atomico de bloqueo para segunda toma CMP-03 [#08]</w:t>
      </w:r>
    </w:p>
    <w:p>
      <w:pPr>
        <w:pStyle w:val="Heading2"/>
      </w:pPr>
      <w:r>
        <w:t>1.3. Política Ética y Declaración de Uso de Inteligencia Artificial</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left w:val="single" w:sz="24" w:space="0" w:color="1B365D"/>
              <w:top w:val="none"/>
              <w:right w:val="none"/>
              <w:bottom w:val="none"/>
            </w:tcBorders>
          </w:tcPr>
          <w:p>
            <w:pPr>
              <w:spacing w:before="0" w:after="40" w:line="276" w:lineRule="auto"/>
            </w:pPr>
            <w:r>
              <w:rPr>
                <w:rFonts w:ascii="Calibri" w:hAnsi="Calibri"/>
                <w:b/>
                <w:color w:val="1B365D"/>
                <w:sz w:val="20"/>
              </w:rPr>
              <w:t>DECLARACIÓN NORMATIVA DE IA — EQUIPO NEXO CÍVICO STUDIO</w:t>
              <w:br/>
            </w:r>
            <w:r>
              <w:rPr>
                <w:rFonts w:ascii="Calibri" w:hAnsi="Calibri"/>
                <w:color w:val="323232"/>
                <w:sz w:val="19"/>
              </w:rPr>
              <w:t>• Herramientas autorizadas: Antigravity IDE (Gemini 3.8 Flash para velocidad de scaffolding y exploración de contexto; Claude 4.6 Opus para consistencia arquitectónica y casos de borde de concurrencia).</w:t>
              <w:br/>
              <w:t>• Alcance permitido: Generación de código base boilerplate, matrices de prueba Gherkin y asistencia en documentación.</w:t>
              <w:br/>
              <w:t>• Alcance prohibido: Código integrado a ciegas sin revisión manual o sin tipado estricto.</w:t>
              <w:br/>
              <w:t>• Sustentación individual obligatoria: Cada integrante asiste a las sesiones de Sprint Review con la capacidad de explicar línea por línea cualquier función construida. Responder «lo generó la IA» constituye reprobación inmediata.</w:t>
              <w:br/>
              <w:t>• Consenso del equipo sobre commits: Debido a restricciones de licencias estudiantiles, la consolidación técnica en Git se centraliza en los integrantes autorizados, pero todo incremento es auditado y defendido por el equipo en mesa conjunta, mitigando el antecedente de fallos en asignaturas previas.</w:t>
            </w:r>
          </w:p>
        </w:tc>
      </w:tr>
    </w:tbl>
    <w:p>
      <w:pPr>
        <w:spacing w:after="120"/>
      </w:pPr>
    </w:p>
    <w:p>
      <w:pPr>
        <w:pStyle w:val="Heading2"/>
      </w:pPr>
      <w:r>
        <w:t>1.4. Definición de Listo (DoR) y Definición de Terminado (DoD)</w:t>
      </w:r>
    </w:p>
    <w:p>
      <w:r>
        <w:t>Para evitar ambigüedades en el flujo de trabajo y asegurar que las historias ingresen y salgan del tablero con total objetividad, se establecen las siguientes compuertas de calidad verificables:</w:t>
      </w:r>
    </w:p>
    <w:p>
      <w:pPr>
        <w:pStyle w:val="Heading3"/>
      </w:pPr>
      <w:r>
        <w:t>Definición de Listo (Definition of Ready - DoR):</w:t>
      </w:r>
    </w:p>
    <w:p>
      <w:r>
        <w:t>Gobierna el paso de una historia o tarea a la columna «Por hacer» en el tablero. Solo entra si cumple:</w:t>
        <w:br/>
        <w:t>1. Base obligatoria del módulo:</w:t>
        <w:br/>
        <w:t xml:space="preserve">   ☐ Está escrita en formato canónico de historia de usuario (Como ... quiero ... para ...).</w:t>
        <w:br/>
        <w:t xml:space="preserve">   ☐ Contiene criterios de aceptación en Gherkin estructurados (Dado ... cuando ... entonces ...).</w:t>
        <w:br/>
        <w:t xml:space="preserve">   ☐ Se traza explícitamente a un requerimiento del Módulo 1 (RF o RNF) y a un comportamiento (CMP).</w:t>
        <w:br/>
        <w:t xml:space="preserve">   ☐ Está estimada por el equipo en horas de sesión individual (≤ 3 a 4 horas).</w:t>
        <w:br/>
        <w:t xml:space="preserve">   ☐ Sus dependencias técnicas están identificadas y resueltas (ninguna bloquea).</w:t>
        <w:br/>
        <w:t xml:space="preserve">   ☐ Es lo bastante pequeña para culminarse dentro de un bloque de trabajo atómico.</w:t>
        <w:br/>
        <w:t>2. Criterios propios de Nexo Cívico Studio (Altamente justificados):</w:t>
        <w:br/>
        <w:t xml:space="preserve">   ☐ Si muestra una cifra, dice de qué dato sale: En fases tempranas aparecieron métricas inventadas. Una cifra sin origen declarado no se puede probar y arriesga los informes financieros ante cooperantes internacionales.</w:t>
        <w:br/>
        <w:t xml:space="preserve">   ☐ Si guarda datos de una persona, dice cuáles, para qué y con qué autorización: De los beneficiarios no se almacena ningún dato personal, únicamente raciones agregadas (cumplimiento Ley 1581 de 2012 / Habeas Data y RNF-003).</w:t>
        <w:br/>
        <w:t xml:space="preserve">   ☐ Dice con qué rol se prueba y en qué dispositivo (teléfono o escritorio): El sistema tiene cuatro roles; donantes, voluntarios y comedores operan desde teléfono móvil en campo, mientras que la coordinación opera desde escritorio. Una historia que no lo dice se prueba erróneamente en el entorno que menos se parece al uso real.</w:t>
        <w:br/>
        <w:t xml:space="preserve">   ☐ Compuerta de Inocuidad y Cadena de Frío: Exige la casilla digital de exención legal (Ley 1990 de 2019) y el flag booleano requiereFrio para evitar incidentes como la pérdida histórica de 200 kg de tomate.</w:t>
        <w:br/>
        <w:t xml:space="preserve">   ☐ Definición de estrategia Offline-First: Especifica qué datos se almacenan en IndexedDB ante caídas de señal 4G en plazas de mercado (Cavasa, Santa Elena).</w:t>
      </w:r>
    </w:p>
    <w:p>
      <w:pPr>
        <w:pStyle w:val="Heading3"/>
      </w:pPr>
      <w:r>
        <w:t>Definición de Terminado (Definition of Done - DoD):</w:t>
      </w:r>
    </w:p>
    <w:p>
      <w:r>
        <w:t>Gobierna la transición de una tarea desde «En revisión» hacia «Terminado» en el tablero:</w:t>
        <w:br/>
        <w:t>1. Base obligatoria del módulo:</w:t>
        <w:br/>
        <w:t xml:space="preserve">   ☐ Cumple todos sus criterios de aceptación verificados punto por punto.</w:t>
        <w:br/>
        <w:t xml:space="preserve">   ☐ El código está revisado y aprobado por otro integrante (Peer review / QA por Felipe Charria).</w:t>
        <w:br/>
        <w:t xml:space="preserve">   ☐ Tiene pruebas automatizadas y todas pasan exitosamente (linter y suites en verde).</w:t>
        <w:br/>
        <w:t xml:space="preserve">   ☐ Está integrada en la rama principal sin romper la compilación.</w:t>
        <w:br/>
        <w:t xml:space="preserve">   ☐ La documentación afectada en docs/spec/ se encuentra totalmente actualizada.</w:t>
        <w:br/>
        <w:t xml:space="preserve">   ☐ Si se utilizó asistencia de IA, el responsable la auditó y es capaz de defenderla técnicamente.</w:t>
        <w:br/>
        <w:t>2. Criterios propios de Nexo Cívico Studio (Altamente justificados):</w:t>
        <w:br/>
        <w:t xml:space="preserve">   ☐ Pasan las dos pruebas de gobierno: (1) Cero datos inventados en métricas de impacto y (2) Validación estricta de no almacenamiento de datos sensibles de comensales (Ley 1581).</w:t>
        <w:br/>
        <w:t xml:space="preserve">   ☐ Se probó entrando con el rol real y en el dispositivo real correspondiente (teléfono móvil para campo o escritorio para coordinación).</w:t>
        <w:br/>
        <w:t xml:space="preserve">   ☐ Verificación de Bloqueo Concurrente Atómico en Toma de Donaciones (Reserva Única - CMP-03): Se demuestra que dos usuarios en paralelo no pueden tomar la misma donación (el segundo recibe HTTP 409 y mensaje claro).</w:t>
        <w:br/>
        <w:t xml:space="preserve">   ☐ Garantía de Cero Costo Recurrente en Capas Gratuitas ($0.00 USD/mes): No introduce servicios pagos ni desborda cuotas de almacenamiento de Supabase/Vercel, protegiendo la caja menor de $150.000 COP/mes.</w:t>
      </w:r>
    </w:p>
    <w:p>
      <w:r>
        <w:br w:type="page"/>
      </w:r>
    </w:p>
    <w:p>
      <w:pPr>
        <w:pStyle w:val="Heading1"/>
      </w:pPr>
      <w:r>
        <w:t>2. Especificación del MVP y su Trazabilidad</w:t>
      </w:r>
    </w:p>
    <w:p>
      <w:r>
        <w:t>El Producto Mínimo Viable (MVP) resuelve de punta a punta el problema central del rescate de alimentos en Cali, conectando a comerciantes donantes, voluntarios de transporte y comedores receptores bajo la coordinación de la Fundación Mesa Común. Alineado con las directrices de la UAO, se delimita estrictamente el alcance descartando características secundarias que no aportan aprendizaje técnico en las semanas disponibles (gestión avanzada de usuarios, notificaciones push de terceros y paneles con datos simulados).</w:t>
      </w:r>
    </w:p>
    <w:p>
      <w:pPr>
        <w:pStyle w:val="Heading2"/>
      </w:pPr>
      <w:r>
        <w:t>2.1. Matriz de Trazabilidad entre Requerimientos (Módulo 1) y el Núcleo del MVP</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120"/>
        <w:gridCol w:w="3120"/>
        <w:gridCol w:w="3120"/>
      </w:tblGrid>
      <w:tr>
        <w:tc>
          <w:tcPr>
            <w:tcW w:type="dxa" w:w="2592"/>
            <w:shd w:fill="1B365D"/>
            <w:tcMar>
              <w:top w:w="120" w:type="dxa"/>
              <w:bottom w:w="120" w:type="dxa"/>
              <w:left w:w="140" w:type="dxa"/>
              <w:right w:w="140" w:type="dxa"/>
            </w:tcMar>
            <w:vAlign w:val="center"/>
          </w:tcPr>
          <w:p>
            <w:pPr>
              <w:spacing w:before="0" w:after="0" w:line="276" w:lineRule="auto"/>
              <w:jc w:val="left"/>
            </w:pPr>
            <w:r>
              <w:rPr>
                <w:rFonts w:ascii="Calibri" w:hAnsi="Calibri"/>
                <w:b/>
                <w:color w:val="FFFFFF"/>
                <w:sz w:val="20"/>
              </w:rPr>
              <w:t>Requerimiento de Origen</w:t>
            </w:r>
          </w:p>
        </w:tc>
        <w:tc>
          <w:tcPr>
            <w:tcW w:type="dxa" w:w="3312"/>
            <w:shd w:fill="1B365D"/>
            <w:tcMar>
              <w:top w:w="120" w:type="dxa"/>
              <w:bottom w:w="120" w:type="dxa"/>
              <w:left w:w="140" w:type="dxa"/>
              <w:right w:w="140" w:type="dxa"/>
            </w:tcMar>
            <w:vAlign w:val="center"/>
          </w:tcPr>
          <w:p>
            <w:pPr>
              <w:spacing w:before="0" w:after="0" w:line="276" w:lineRule="auto"/>
              <w:jc w:val="left"/>
            </w:pPr>
            <w:r>
              <w:rPr>
                <w:rFonts w:ascii="Calibri" w:hAnsi="Calibri"/>
                <w:b/>
                <w:color w:val="FFFFFF"/>
                <w:sz w:val="20"/>
              </w:rPr>
              <w:t>Comportamiento del MVP</w:t>
            </w:r>
          </w:p>
        </w:tc>
        <w:tc>
          <w:tcPr>
            <w:tcW w:type="dxa" w:w="3456"/>
            <w:shd w:fill="1B365D"/>
            <w:tcMar>
              <w:top w:w="120" w:type="dxa"/>
              <w:bottom w:w="120" w:type="dxa"/>
              <w:left w:w="140" w:type="dxa"/>
              <w:right w:w="140" w:type="dxa"/>
            </w:tcMar>
            <w:vAlign w:val="center"/>
          </w:tcPr>
          <w:p>
            <w:pPr>
              <w:spacing w:before="0" w:after="0" w:line="276" w:lineRule="auto"/>
              <w:jc w:val="left"/>
            </w:pPr>
            <w:r>
              <w:rPr>
                <w:rFonts w:ascii="Calibri" w:hAnsi="Calibri"/>
                <w:b/>
                <w:color w:val="FFFFFF"/>
                <w:sz w:val="20"/>
              </w:rPr>
              <w:t>Alcance y Garantía Técnica</w:t>
            </w:r>
          </w:p>
        </w:tc>
      </w:tr>
      <w:tr>
        <w:tc>
          <w:tcPr>
            <w:tcW w:type="dxa" w:w="259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RF-001 / RF-017 / RNF-001</w:t>
            </w:r>
          </w:p>
        </w:tc>
        <w:tc>
          <w:tcPr>
            <w:tcW w:type="dxa" w:w="331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CMP-01 · Un comercio publica una donación</w:t>
            </w:r>
          </w:p>
        </w:tc>
        <w:tc>
          <w:tcPr>
            <w:tcW w:type="dxa" w:w="345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Registro rápido de oferta (&lt;3 pasos), ventana de tiempo, exención sanitaria Ley 1990 y persistencia offline.</w:t>
            </w:r>
          </w:p>
        </w:tc>
      </w:tr>
      <w:tr>
        <w:tc>
          <w:tcPr>
            <w:tcW w:type="dxa" w:w="2592"/>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RF-002 / RF-014 / RNF-001</w:t>
            </w:r>
          </w:p>
        </w:tc>
        <w:tc>
          <w:tcPr>
            <w:tcW w:type="dxa" w:w="3312"/>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CMP-02 · Visualización y filtrado de donaciones</w:t>
            </w:r>
          </w:p>
        </w:tc>
        <w:tc>
          <w:tcPr>
            <w:tcW w:type="dxa" w:w="3456"/>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Catálogo reactivo en tiempo real, etiqueta destacada de cadena de frío y filtro para comedores sin nevera.</w:t>
            </w:r>
          </w:p>
        </w:tc>
      </w:tr>
      <w:tr>
        <w:tc>
          <w:tcPr>
            <w:tcW w:type="dxa" w:w="259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RF-004 / RF-010 / RNF-004</w:t>
            </w:r>
          </w:p>
        </w:tc>
        <w:tc>
          <w:tcPr>
            <w:tcW w:type="dxa" w:w="331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CMP-03 · Toma de donación con bloqueo concurrente</w:t>
            </w:r>
          </w:p>
        </w:tc>
        <w:tc>
          <w:tcPr>
            <w:tcW w:type="dxa" w:w="345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Reserva única atómica (El corazón del MVP). Bloqueo pesimista a segundos voluntarios y respuesta HTTP 409.</w:t>
            </w:r>
          </w:p>
        </w:tc>
      </w:tr>
      <w:tr>
        <w:tc>
          <w:tcPr>
            <w:tcW w:type="dxa" w:w="2592"/>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RF-005 / RF-006 / RNF-003</w:t>
            </w:r>
          </w:p>
        </w:tc>
        <w:tc>
          <w:tcPr>
            <w:tcW w:type="dxa" w:w="3312"/>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CMP-04 · Registro de entrega en comedor receptor</w:t>
            </w:r>
          </w:p>
        </w:tc>
        <w:tc>
          <w:tcPr>
            <w:tcW w:type="dxa" w:w="3456"/>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Cierre formal de custodia física, firma digital con nombre de receptor y anonimización Ley 1581.</w:t>
            </w:r>
          </w:p>
        </w:tc>
      </w:tr>
      <w:tr>
        <w:tc>
          <w:tcPr>
            <w:tcW w:type="dxa" w:w="259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RF-002 / RF-006 / RF-007</w:t>
            </w:r>
          </w:p>
        </w:tc>
        <w:tc>
          <w:tcPr>
            <w:tcW w:type="dxa" w:w="331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CMP-05 · Consulta de estado y trazabilidad</w:t>
            </w:r>
          </w:p>
        </w:tc>
        <w:tc>
          <w:tcPr>
            <w:tcW w:type="dxa" w:w="345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Auditoría en línea de tiempo (Donante -&gt; Voluntario -&gt; Comedor) y métricas reales para cooperantes.</w:t>
            </w:r>
          </w:p>
        </w:tc>
      </w:tr>
    </w:tbl>
    <w:p>
      <w:pPr>
        <w:spacing w:after="120"/>
      </w:pPr>
    </w:p>
    <w:p>
      <w:pPr>
        <w:pStyle w:val="Heading2"/>
      </w:pPr>
      <w:r>
        <w:t>2.2. Especificación Detallada de los 5 Comportamientos del MVP (BDD / Gherkin)</w:t>
      </w:r>
    </w:p>
    <w:p>
      <w:pPr>
        <w:pStyle w:val="Heading3"/>
      </w:pPr>
      <w:r>
        <w:t>CMP-01 · Un comercio publica una donación</w:t>
      </w:r>
    </w:p>
    <w:p>
      <w:r>
        <w:rPr>
          <w:b/>
        </w:rPr>
        <w:t>• Historia de Usuario: Como comerciante donante, quiero registrar una donación de alimentos con su tipo, cantidad, ventana de recogida y aceptación legal, para que los voluntarios y comedores comunitarios sepan qué hay disponible y cuándo recogerlo.</w:t>
        <w:br/>
      </w:r>
      <w:r>
        <w:t>• Trazabilidad de Origen: RF-001 (Registro) | RF-017 (Ventana e Inocuidad) | RNF-001 (Mobile-First) | RNF-002 (Offline)</w:t>
        <w:br/>
      </w:r>
      <w:r>
        <w:t>• Se prueba como: comercio / donante · teléfono móvil</w:t>
        <w:br/>
      </w:r>
      <w:r>
        <w:t>• Criterios de Aceptación (Gherkin):</w:t>
        <w:br/>
      </w:r>
      <w:r>
        <w:t xml:space="preserve">   CA-01.1: Dado un comercio con sesión iniciada, cuando registra tipo de alimento, cantidad (kg), dirección y ventana de recogida, y acepta la exención de la Ley 1990 de 2019, entonces la donación queda en estado DISPONIBLE y aparece en la lista de los voluntarios.</w:t>
        <w:br/>
      </w:r>
      <w:r>
        <w:t xml:space="preserve">   CA-01.2: Dada una ventana cuya hora límite es anterior o igual a la hora de inicio, cuando el comercio intenta publicar, entonces se rechaza y se indica que la hora límite debe ser posterior.</w:t>
        <w:br/>
      </w:r>
      <w:r>
        <w:t xml:space="preserve">   CA-01.3: Dada una ventana cuya hora límite ya pasó, cuando el comercio intenta publicar, entonces se rechaza y se le pide revisar la hora.</w:t>
        <w:br/>
      </w:r>
      <w:r>
        <w:t xml:space="preserve">   CA-01.4: Dado que el alimento requiere refrigeración, cuando se publica, entonces la donación queda marcada con la etiqueta destacada 'Requiere Refrigeración' y solo la pueden reservar comedores con frío funcional.</w:t>
        <w:br/>
      </w:r>
      <w:r>
        <w:t xml:space="preserve">   CA-01.5: Dado que el comercio se encuentra sin señal 4G en la plaza de mercado, cuando envía el formulario, el sistema lo almacena localmente en IndexedDB y lo sincroniza de forma automática al recuperar la conexión.</w:t>
        <w:br/>
      </w:r>
    </w:p>
    <w:p>
      <w:pPr>
        <w:pStyle w:val="Heading3"/>
      </w:pPr>
      <w:r>
        <w:t>CMP-02 · Visualización y filtrado de donaciones disponibles</w:t>
      </w:r>
    </w:p>
    <w:p>
      <w:r>
        <w:rPr>
          <w:b/>
        </w:rPr>
        <w:t>• Historia de Usuario: Como voluntario de transporte u organización receptora, quiero consultar las donaciones activas filtradas por cercanía geográfica y requerimiento de refrigeración, para identificar rápidamente qué alimentos puedo rescatar según mi capacidad instalada.</w:t>
        <w:br/>
      </w:r>
      <w:r>
        <w:t>• Trazabilidad de Origen: RF-002 (Consulta de estado) | RF-014 (Cadena de frío) | RNF-001 (Mobile-First)</w:t>
        <w:br/>
      </w:r>
      <w:r>
        <w:t>• Se prueba como: voluntario / comedor receptor · teléfono móvil</w:t>
        <w:br/>
      </w:r>
      <w:r>
        <w:t>• Criterios de Aceptación (Gherkin):</w:t>
        <w:br/>
      </w:r>
      <w:r>
        <w:t xml:space="preserve">   CA-02.1: Dado que existen donaciones en estado DISPONIBLE con ventana vigente, cuando un voluntario abre el catálogo móvil, entonces el sistema muestra únicamente las ofertas disponibles ordenadas por cercanía y urgencia.</w:t>
        <w:br/>
      </w:r>
      <w:r>
        <w:t xml:space="preserve">   CA-02.2: Dada una donación perecedera con requiereFrio = true, cuando se visualiza en la lista de ofertas, entonces exhibe la etiqueta visual 'Requiere Refrigeración' y el temporizador con el tiempo restante antes de expirar.</w:t>
        <w:br/>
      </w:r>
      <w:r>
        <w:t xml:space="preserve">   CA-02.3: Dado un comedor comunitario sin refrigeración funcional (tieneRefrigeracion = false), cuando consulta las donaciones, el sistema advierte o deshabilita la reserva de lotes perecederos.</w:t>
        <w:br/>
      </w:r>
      <w:r>
        <w:t xml:space="preserve">   CA-02.4: Dada una donación cuya hora límite ya pasó sin ser tomada, cuando expira la ventana temporal, entonces desaparece automáticamente de la vista de disponibles y transiciona internamente a EXPIRADA.</w:t>
        <w:br/>
      </w:r>
    </w:p>
    <w:p>
      <w:pPr>
        <w:pStyle w:val="Heading3"/>
      </w:pPr>
      <w:r>
        <w:t>CMP-03 · Toma de donación con bloqueo de segunda toma (Reserva Única)</w:t>
      </w:r>
    </w:p>
    <w:p>
      <w:r>
        <w:rPr>
          <w:b/>
        </w:rPr>
        <w:t>• Historia de Usuario: Como voluntario de transporte u organización receptora, quiero reservar de manera exclusiva una donación disponible, para asegurar la recogida sin que otra persona u organización se desplace simultáneamente por la misma carga.</w:t>
        <w:br/>
      </w:r>
      <w:r>
        <w:t>• Trazabilidad de Origen: RF-004 (Coordinación de recogida) | RF-010 (Exclusión de colisión) | RNF-004 (Integridad y concurrencia)</w:t>
        <w:br/>
      </w:r>
      <w:r>
        <w:t>• Se prueba como: voluntario de transporte · teléfono móvil (prueba de concurrencia simulada)</w:t>
        <w:br/>
      </w:r>
      <w:r>
        <w:t>• Criterios de Aceptación (Gherkin):</w:t>
        <w:br/>
      </w:r>
      <w:r>
        <w:t xml:space="preserve">   CA-03.1: Dada una donación en estado DISPONIBLE, cuando el voluntario A selecciona 'Tomar Donación', entonces la transacción atómica actualiza el estado a ASIGNADA, vincula al voluntario A y despliega la ruta e información de contacto.</w:t>
        <w:br/>
      </w:r>
      <w:r>
        <w:t xml:space="preserve">   CA-03.2: Dada una donación que acaba de ser asignada al voluntario A, cuando el voluntario B intenta tomarla en simultáneo, entonces la base de datos detecta que no está DISPONIBLE, rechaza la solicitud con HTTP 409 Conflict y muestra la notificación amigable: 'Esta donación acaba de ser reservada por otra persona. Te mostramos las ofertas disponibles más cercanas.'</w:t>
        <w:br/>
      </w:r>
      <w:r>
        <w:t xml:space="preserve">   CA-03.3: Dada la respuesta de conflicto en la interfaz del voluntario B, cuando se recibe el error 409, entonces la donación se remueve inmediatamente de su lista sin necesidad de recargar la página.</w:t>
        <w:br/>
      </w:r>
      <w:r>
        <w:t xml:space="preserve">   CA-03.4: Dada una donación expirada o cancelada, cuando cualquier usuario intenta tomarla, el sistema bloquea la acción indicando que la oferta ya no se encuentra vigente.</w:t>
        <w:br/>
      </w:r>
    </w:p>
    <w:p>
      <w:pPr>
        <w:pStyle w:val="Heading3"/>
      </w:pPr>
      <w:r>
        <w:t>CMP-04 · Registro y confirmación de entrega a organización receptora</w:t>
      </w:r>
    </w:p>
    <w:p>
      <w:r>
        <w:rPr>
          <w:b/>
        </w:rPr>
        <w:t>• Historia de Usuario: Como voluntario de transporte o encargado de comedor comunitario, quiero registrar y confirmar la entrega física de los alimentos con fecha, hora y responsable de recepción, para garantizar el cierre formal de la custodia y el aprovechamiento de la donación.</w:t>
        <w:br/>
      </w:r>
      <w:r>
        <w:t>• Trazabilidad de Origen: RF-005 (Registro de entrega) | RF-006 (Trazabilidad y custodia) | RNF-003 (Habeas Data)</w:t>
        <w:br/>
      </w:r>
      <w:r>
        <w:t>• Se prueba como: voluntario / encargado de comedor · teléfono móvil</w:t>
        <w:br/>
      </w:r>
      <w:r>
        <w:t>• Criterios de Aceptación (Gherkin):</w:t>
        <w:br/>
      </w:r>
      <w:r>
        <w:t xml:space="preserve">   CA-04.1: Dada una donación en estado ASIGNADA, cuando el voluntario arriba al comedor receptor y diligencia el nombre del encargado receptor, entonces el sistema actualiza el estado a ENTREGADA, guarda la marca de tiempo UTC y cierra el ciclo de custodia.</w:t>
        <w:br/>
      </w:r>
      <w:r>
        <w:t xml:space="preserve">   CA-04.2: Dada una donación en estado DISPONIBLE que no ha sido asignada, cuando se intenta registrar una entrega directa, entonces el sistema bloquea la acción indicando que la donación debe ser tomada formalmente antes de entregarse.</w:t>
        <w:br/>
      </w:r>
      <w:r>
        <w:t xml:space="preserve">   CA-04.3: Dada la confirmación digital de entrega, cuando se guarda el registro, el sistema valida que no se recolecten nombres ni datos personales de personas beneficiarias, guardando únicamente raciones agregadas (Ley 1581 de 2012 / Habeas Data).</w:t>
        <w:br/>
      </w:r>
    </w:p>
    <w:p>
      <w:pPr>
        <w:pStyle w:val="Heading3"/>
      </w:pPr>
      <w:r>
        <w:t>CMP-05 · Consulta del estado y trazabilidad de una donación</w:t>
      </w:r>
    </w:p>
    <w:p>
      <w:r>
        <w:rPr>
          <w:b/>
        </w:rPr>
        <w:t>• Historia de Usuario: Como coordinadora general (Marcela Ocampo) o donante, quiero consultar en cualquier momento la línea de tiempo y el estado actual de una donación mediante su código de seguimiento, para verificar la trazabilidad completa y generar soporte auditado para los cooperantes.</w:t>
        <w:br/>
      </w:r>
      <w:r>
        <w:t>• Trazabilidad de Origen: RF-002 (Consulta de estado) | RF-006 (Línea de tiempo) | RF-007 (Reportes de impacto)</w:t>
        <w:br/>
      </w:r>
      <w:r>
        <w:t>• Se prueba como: coordinadora general · escritorio (computador) / donante · teléfono móvil</w:t>
        <w:br/>
      </w:r>
      <w:r>
        <w:t>• Criterios de Aceptación (Gherkin):</w:t>
        <w:br/>
      </w:r>
      <w:r>
        <w:t xml:space="preserve">   CA-05.1: Dada una donación registrada con código DON-101, cuando cualquier usuario autorizado ingresa el código, entonces el sistema retorna su estado vigente (DISPONIBLE, ASIGNADA, ENTREGADA, EXPIRADA o CANCELADA) y datos públicos del lote.</w:t>
        <w:br/>
      </w:r>
      <w:r>
        <w:t xml:space="preserve">   CA-05.2: Dada una donación en estado ENTREGADA, cuando la coordinadora consulta su historial detallado, entonces el sistema presenta la línea de tiempo completa: fecha/hora de publicación por donante, asignación al voluntario y entrega final en comedor con el receptor.</w:t>
        <w:br/>
      </w:r>
      <w:r>
        <w:t xml:space="preserve">   CA-05.3: Dada la visualización del resumen de impacto, cuando la coordinadora consulta los kilogramos rescatados, entonces el sistema calcula el total estrictamente mediante la sumatoria de donaciones entregadas, garantizando que ninguna cifra provenga de datos inventados.</w:t>
        <w:br/>
      </w:r>
    </w:p>
    <w:p>
      <w:pPr>
        <w:pStyle w:val="Heading2"/>
      </w:pPr>
      <w:r>
        <w:t>2.3. Resolución de Casos Borde: Bloqueo Concurrente de la Segunda Toma (El Corazón del MVP)</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left w:val="single" w:sz="24" w:space="0" w:color="1B365D"/>
              <w:top w:val="none"/>
              <w:right w:val="none"/>
              <w:bottom w:val="none"/>
            </w:tcBorders>
          </w:tcPr>
          <w:p>
            <w:pPr>
              <w:spacing w:before="0" w:after="40" w:line="276" w:lineRule="auto"/>
            </w:pPr>
            <w:r>
              <w:rPr>
                <w:rFonts w:ascii="Calibri" w:hAnsi="Calibri"/>
                <w:b/>
                <w:color w:val="1B365D"/>
                <w:sz w:val="20"/>
              </w:rPr>
              <w:t>PROTOCOLO TRANSACCIONAL CONTRA CONDICIONES DE CARRERA (CMP-03)</w:t>
              <w:br/>
            </w:r>
            <w:r>
              <w:rPr>
                <w:rFonts w:ascii="Calibri" w:hAnsi="Calibri"/>
                <w:color w:val="323232"/>
                <w:sz w:val="19"/>
              </w:rPr>
              <w:t>El problema neurálgico del caso de estudio —que causó el colapso de la coordinación operativa por WhatsApp— es la duplicidad de voluntarios: dos transportistas dirigiéndose al mismo tiempo por la misma carga. El sistema erradica esta ambigüedad mediante concurrencia atómica:</w:t>
              <w:br/>
              <w:br/>
              <w:t>1. Mecanismo Técnico en Persistencia: La reserva se realiza mediante una actualización condicional atómica en PostgreSQL:</w:t>
              <w:br/>
              <w:t xml:space="preserve">   UPDATE donaciones SET estado = 'ASIGNADA', voluntario_id = :voluntarioId, asignada_at = NOW()    WHERE id = :donacionId AND estado = 'DISPONIBLE';</w:t>
              <w:br/>
              <w:t>2. Determinismo: Si dos peticiones llegan con milisegundos de diferencia, el motor SQL aplica un bloqueo exclusivo de fila. La primera transacción afecta 1 fila (Éxito). La segunda transacción encuentra estado != 'DISPONIBLE' y afecta 0 filas (Rechazo).</w:t>
              <w:br/>
              <w:t>3. Manejo en API y Frontend: El backend retorna código HTTP 409 Conflict. La interfaz del segundo voluntario atrapa el error y despliega una alerta amigable: «Esta donación acaba de ser reservada por otro voluntario. Te mostramos las ofertas disponibles más cercanas», removiendo la tarjeta de su pantalla sin necesidad de recargar la página.</w:t>
            </w:r>
          </w:p>
        </w:tc>
      </w:tr>
    </w:tbl>
    <w:p>
      <w:pPr>
        <w:spacing w:after="120"/>
      </w:pPr>
    </w:p>
    <w:p>
      <w:r>
        <w:br w:type="page"/>
      </w:r>
    </w:p>
    <w:p>
      <w:pPr>
        <w:pStyle w:val="Heading1"/>
      </w:pPr>
      <w:r>
        <w:t>3. Plan Técnico Coherente con la Alternativa del Módulo 2</w:t>
      </w:r>
    </w:p>
    <w:p>
      <w:r>
        <w:t>En la evaluación cuantitativa del Módulo 2, la Alternativa A (PWA Serverless) obtuvo la calificación más alta del curso (4.68 / 5.0) frente a la Aplicación Móvil Nativa (2.85) y al Agente de WhatsApp con IA (2.38). El presente plan técnico se deriva estrictamente de dicha decisión:</w:t>
      </w:r>
    </w:p>
    <w:p>
      <w:pPr>
        <w:pStyle w:val="Heading2"/>
      </w:pPr>
      <w:r>
        <w:t>3.1. Arquitectura del Sistema y Fundamentación</w:t>
      </w:r>
    </w:p>
    <w:p>
      <w:r>
        <w:t>1. Presupuesto Cero ($0.00 USD/mes): La Fundación Mesa Común opera con un presupuesto operativo máximo de $150.000 COP/mes (RNF-005) destinado a combustible de carromotos y refrigerios. La arquitectura se apoya en los Free Tiers de Vercel (Next.js Edge) y Supabase (PostgreSQL 15).</w:t>
        <w:br/>
        <w:t>2. Sostenibilidad sin Administrador de Servidores: Arquitectura 100% Serverless que no requiere mantenimiento de VPS Linux ni parches manuales de kernel.</w:t>
        <w:br/>
        <w:t>3. Resiliencia Offline-First: En plazas de mercado como Cavasa y Santa Elena la señal celular es deficiente; la PWA utiliza Service Workers e IndexedDB (mediante Dexie.js) para capturar donaciones sin señal y sincronizarlas automáticamente en segundo plano.</w:t>
        <w:br/>
        <w:t>4. Cero Barrera de Instalación: Acceso instantáneo mediante navegador móvil sin exigir a comerciantes ni voluntarios descargar apps pesadas de tiendas.</w:t>
      </w:r>
    </w:p>
    <w:p>
      <w:pPr>
        <w:pStyle w:val="Heading2"/>
      </w:pPr>
      <w:r>
        <w:t>3.2. Modelo de Datos Relacional (PostgreSQL)</w:t>
      </w:r>
    </w:p>
    <w:p>
      <w:r>
        <w:t>El núcleo de persistencia relacional implementa las siguientes entidades en TypeScript y PostgreSQL:</w:t>
        <w:br/>
        <w:br/>
        <w:t>• ORGANIZACION (id, nombre, tipo [DONANTE/RECEPTOR/FUNDACION], direccion, zona [NORTE/CENTRO/SUR/ORIENTE/LADERA], tiene_refrigeracion, capacidad_raciones_dia)</w:t>
        <w:br/>
        <w:t>• USUARIO (id, nombre, email, rol [COORDINADOR/VOLUNTARIO/DONANTE/RECEPTOR], telefono, vehiculo_tipo, disponible)</w:t>
        <w:br/>
        <w:t>• DONACION (id, codigo [DON-XXX], donante_id, tipo_alimento, requiere_frio, cantidad_estimada, unidad_medida, direccion_recogida, hora_limite, estado [DISPONIBLE/ASIGNADA/ENTREGADA/EXPIRADA/CANCELADA], voluntario_id, comedor_id, exencion_aceptada, created_at, asignada_at, entregada_at)</w:t>
        <w:br/>
        <w:t>• TRAZABILIDAD_EVENTO (id, donacion_id, estado_anterior, estado_nuevo, usuario_id, timestamp, observaciones)</w:t>
      </w:r>
    </w:p>
    <w:p>
      <w:pPr>
        <w:pStyle w:val="Heading2"/>
      </w:pPr>
      <w:r>
        <w:t>3.3. Matriz de Conversión de Riesgos del Módulo 2 a Decisiones Técnicas y Backlog</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120"/>
        <w:gridCol w:w="3120"/>
        <w:gridCol w:w="3120"/>
      </w:tblGrid>
      <w:tr>
        <w:tc>
          <w:tcPr>
            <w:tcW w:type="dxa" w:w="3024"/>
            <w:shd w:fill="1B365D"/>
            <w:tcMar>
              <w:top w:w="120" w:type="dxa"/>
              <w:bottom w:w="120" w:type="dxa"/>
              <w:left w:w="140" w:type="dxa"/>
              <w:right w:w="140" w:type="dxa"/>
            </w:tcMar>
            <w:vAlign w:val="center"/>
          </w:tcPr>
          <w:p>
            <w:pPr>
              <w:spacing w:before="0" w:after="0" w:line="276" w:lineRule="auto"/>
              <w:jc w:val="left"/>
            </w:pPr>
            <w:r>
              <w:rPr>
                <w:rFonts w:ascii="Calibri" w:hAnsi="Calibri"/>
                <w:b/>
                <w:color w:val="FFFFFF"/>
                <w:sz w:val="20"/>
              </w:rPr>
              <w:t>Riesgo Identificado (Módulo 2)</w:t>
            </w:r>
          </w:p>
        </w:tc>
        <w:tc>
          <w:tcPr>
            <w:tcW w:type="dxa" w:w="3312"/>
            <w:shd w:fill="1B365D"/>
            <w:tcMar>
              <w:top w:w="120" w:type="dxa"/>
              <w:bottom w:w="120" w:type="dxa"/>
              <w:left w:w="140" w:type="dxa"/>
              <w:right w:w="140" w:type="dxa"/>
            </w:tcMar>
            <w:vAlign w:val="center"/>
          </w:tcPr>
          <w:p>
            <w:pPr>
              <w:spacing w:before="0" w:after="0" w:line="276" w:lineRule="auto"/>
              <w:jc w:val="left"/>
            </w:pPr>
            <w:r>
              <w:rPr>
                <w:rFonts w:ascii="Calibri" w:hAnsi="Calibri"/>
                <w:b/>
                <w:color w:val="FFFFFF"/>
                <w:sz w:val="20"/>
              </w:rPr>
              <w:t>Decisión Técnica Concreta en el Plan</w:t>
            </w:r>
          </w:p>
        </w:tc>
        <w:tc>
          <w:tcPr>
            <w:tcW w:type="dxa" w:w="3024"/>
            <w:shd w:fill="1B365D"/>
            <w:tcMar>
              <w:top w:w="120" w:type="dxa"/>
              <w:bottom w:w="120" w:type="dxa"/>
              <w:left w:w="140" w:type="dxa"/>
              <w:right w:w="140" w:type="dxa"/>
            </w:tcMar>
            <w:vAlign w:val="center"/>
          </w:tcPr>
          <w:p>
            <w:pPr>
              <w:spacing w:before="0" w:after="0" w:line="276" w:lineRule="auto"/>
              <w:jc w:val="left"/>
            </w:pPr>
            <w:r>
              <w:rPr>
                <w:rFonts w:ascii="Calibri" w:hAnsi="Calibri"/>
                <w:b/>
                <w:color w:val="FFFFFF"/>
                <w:sz w:val="20"/>
              </w:rPr>
              <w:t>Tarea Asociada en el Backlog</w:t>
            </w:r>
          </w:p>
        </w:tc>
      </w:tr>
      <w:tr>
        <w:tc>
          <w:tcPr>
            <w:tcW w:type="dxa" w:w="302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Desalojo de memoria local (Storage Eviction) en PWA móvil en celulares colapsados.</w:t>
            </w:r>
          </w:p>
        </w:tc>
        <w:tc>
          <w:tcPr>
            <w:tcW w:type="dxa" w:w="331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Uso de IndexedDB con esquema liviano y política de retención que purga imágenes tras 30 días (RF-018).</w:t>
            </w:r>
          </w:p>
        </w:tc>
        <w:tc>
          <w:tcPr>
            <w:tcW w:type="dxa" w:w="302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TASK-05: Persistencia offline con Dexie.js y control de cuotas.</w:t>
            </w:r>
          </w:p>
        </w:tc>
      </w:tr>
      <w:tr>
        <w:tc>
          <w:tcPr>
            <w:tcW w:type="dxa" w:w="3024"/>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Doble asignación de donación por alta concurrencia de voluntarios.</w:t>
            </w:r>
          </w:p>
        </w:tc>
        <w:tc>
          <w:tcPr>
            <w:tcW w:type="dxa" w:w="3312"/>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Transacciones atómicas con bloqueo pesimista en PostgreSQL y código HTTP 409 Conflict.</w:t>
            </w:r>
          </w:p>
        </w:tc>
        <w:tc>
          <w:tcPr>
            <w:tcW w:type="dxa" w:w="3024"/>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TASK-08: Procedimiento atómico de reserva y modal de conflicto.</w:t>
            </w:r>
          </w:p>
        </w:tc>
      </w:tr>
      <w:tr>
        <w:tc>
          <w:tcPr>
            <w:tcW w:type="dxa" w:w="302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Falla crítica de cobertura 4G en plazas Cavasa y Santa Elena.</w:t>
            </w:r>
          </w:p>
        </w:tc>
        <w:tc>
          <w:tcPr>
            <w:tcW w:type="dxa" w:w="331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Service Workers para caché de interfaz y Background Sync para encolar publicaciones salientes.</w:t>
            </w:r>
          </w:p>
        </w:tc>
        <w:tc>
          <w:tcPr>
            <w:tcW w:type="dxa" w:w="302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TASK-05: Sincronización automática al detectar red.</w:t>
            </w:r>
          </w:p>
        </w:tc>
      </w:tr>
      <w:tr>
        <w:tc>
          <w:tcPr>
            <w:tcW w:type="dxa" w:w="3024"/>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Riesgo de superar capa gratuita y generar costos para la fundación.</w:t>
            </w:r>
          </w:p>
        </w:tc>
        <w:tc>
          <w:tcPr>
            <w:tcW w:type="dxa" w:w="3312"/>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Arquitectura Serverless optimizada, code-splitting y compresión de activos en cliente.</w:t>
            </w:r>
          </w:p>
        </w:tc>
        <w:tc>
          <w:tcPr>
            <w:tcW w:type="dxa" w:w="3024"/>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TASK-15: Monitoreo de cuotas Free Tier y pipelines de CI.</w:t>
            </w:r>
          </w:p>
        </w:tc>
      </w:tr>
      <w:tr>
        <w:tc>
          <w:tcPr>
            <w:tcW w:type="dxa" w:w="302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Temor de donantes frente a demandas por intoxicación alimentaria.</w:t>
            </w:r>
          </w:p>
        </w:tc>
        <w:tc>
          <w:tcPr>
            <w:tcW w:type="dxa" w:w="331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Casilla obligatoria con acta digital de exención de responsabilidad bajo la Ley 1990 de 2019.</w:t>
            </w:r>
          </w:p>
        </w:tc>
        <w:tc>
          <w:tcPr>
            <w:tcW w:type="dxa" w:w="302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TASK-04: Formulario legal obligatorio antes del despacho.</w:t>
            </w:r>
          </w:p>
        </w:tc>
      </w:tr>
    </w:tbl>
    <w:p>
      <w:pPr>
        <w:spacing w:after="120"/>
      </w:pPr>
    </w:p>
    <w:p>
      <w:r>
        <w:br w:type="page"/>
      </w:r>
    </w:p>
    <w:p>
      <w:pPr>
        <w:pStyle w:val="Heading1"/>
      </w:pPr>
      <w:r>
        <w:t>4. Backlog de Tareas Atómicas, Priorizado y Asignado</w:t>
      </w:r>
    </w:p>
    <w:p>
      <w:r>
        <w:t>El backlog fue descompuesto siguiendo la regla de oro institucional: cada tarea atómica apunta a un único criterio de aceptación y puede ser culminada por una sola persona en una sesión de trabajo individual (≤ 4 horas). La priorización se defiende con el alcance del MVP: las primeras tareas construyen el flujo vertical núcleo de punta a punta (End-to-End Core Walkthrough) en el Sprint 1, dejando funcionalidades secundarias para iteraciones posteriores. El reparto entre los 6 integrantes es equitativo y coherente con sus roles:</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1337"/>
        <w:gridCol w:w="1337"/>
        <w:gridCol w:w="1337"/>
        <w:gridCol w:w="1337"/>
        <w:gridCol w:w="1337"/>
        <w:gridCol w:w="1337"/>
        <w:gridCol w:w="1337"/>
      </w:tblGrid>
      <w:tr>
        <w:tc>
          <w:tcPr>
            <w:tcW w:type="dxa" w:w="1152"/>
            <w:shd w:fill="1B365D"/>
            <w:tcMar>
              <w:top w:w="120" w:type="dxa"/>
              <w:bottom w:w="120" w:type="dxa"/>
              <w:left w:w="140" w:type="dxa"/>
              <w:right w:w="140" w:type="dxa"/>
            </w:tcMar>
            <w:vAlign w:val="center"/>
          </w:tcPr>
          <w:p>
            <w:pPr>
              <w:spacing w:before="0" w:after="0" w:line="276" w:lineRule="auto"/>
              <w:jc w:val="left"/>
            </w:pPr>
            <w:r>
              <w:rPr>
                <w:rFonts w:ascii="Calibri" w:hAnsi="Calibri"/>
                <w:b/>
                <w:color w:val="FFFFFF"/>
                <w:sz w:val="20"/>
              </w:rPr>
              <w:t>ID Tarea</w:t>
            </w:r>
          </w:p>
        </w:tc>
        <w:tc>
          <w:tcPr>
            <w:tcW w:type="dxa" w:w="3168"/>
            <w:shd w:fill="1B365D"/>
            <w:tcMar>
              <w:top w:w="120" w:type="dxa"/>
              <w:bottom w:w="120" w:type="dxa"/>
              <w:left w:w="140" w:type="dxa"/>
              <w:right w:w="140" w:type="dxa"/>
            </w:tcMar>
            <w:vAlign w:val="center"/>
          </w:tcPr>
          <w:p>
            <w:pPr>
              <w:spacing w:before="0" w:after="0" w:line="276" w:lineRule="auto"/>
              <w:jc w:val="left"/>
            </w:pPr>
            <w:r>
              <w:rPr>
                <w:rFonts w:ascii="Calibri" w:hAnsi="Calibri"/>
                <w:b/>
                <w:color w:val="FFFFFF"/>
                <w:sz w:val="20"/>
              </w:rPr>
              <w:t>Descripción Atómica (≤ 4 horas)</w:t>
            </w:r>
          </w:p>
        </w:tc>
        <w:tc>
          <w:tcPr>
            <w:tcW w:type="dxa" w:w="1584"/>
            <w:shd w:fill="1B365D"/>
            <w:tcMar>
              <w:top w:w="120" w:type="dxa"/>
              <w:bottom w:w="120" w:type="dxa"/>
              <w:left w:w="140" w:type="dxa"/>
              <w:right w:w="140" w:type="dxa"/>
            </w:tcMar>
            <w:vAlign w:val="center"/>
          </w:tcPr>
          <w:p>
            <w:pPr>
              <w:spacing w:before="0" w:after="0" w:line="276" w:lineRule="auto"/>
              <w:jc w:val="left"/>
            </w:pPr>
            <w:r>
              <w:rPr>
                <w:rFonts w:ascii="Calibri" w:hAnsi="Calibri"/>
                <w:b/>
                <w:color w:val="FFFFFF"/>
                <w:sz w:val="20"/>
              </w:rPr>
              <w:t>Criterio Asociado</w:t>
            </w:r>
          </w:p>
        </w:tc>
        <w:tc>
          <w:tcPr>
            <w:tcW w:type="dxa" w:w="1584"/>
            <w:shd w:fill="1B365D"/>
            <w:tcMar>
              <w:top w:w="120" w:type="dxa"/>
              <w:bottom w:w="120" w:type="dxa"/>
              <w:left w:w="140" w:type="dxa"/>
              <w:right w:w="140" w:type="dxa"/>
            </w:tcMar>
            <w:vAlign w:val="center"/>
          </w:tcPr>
          <w:p>
            <w:pPr>
              <w:spacing w:before="0" w:after="0" w:line="276" w:lineRule="auto"/>
              <w:jc w:val="left"/>
            </w:pPr>
            <w:r>
              <w:rPr>
                <w:rFonts w:ascii="Calibri" w:hAnsi="Calibri"/>
                <w:b/>
                <w:color w:val="FFFFFF"/>
                <w:sz w:val="20"/>
              </w:rPr>
              <w:t>Responsable</w:t>
            </w:r>
          </w:p>
        </w:tc>
        <w:tc>
          <w:tcPr>
            <w:tcW w:type="dxa" w:w="1296"/>
            <w:shd w:fill="1B365D"/>
            <w:tcMar>
              <w:top w:w="120" w:type="dxa"/>
              <w:bottom w:w="120" w:type="dxa"/>
              <w:left w:w="140" w:type="dxa"/>
              <w:right w:w="140" w:type="dxa"/>
            </w:tcMar>
            <w:vAlign w:val="center"/>
          </w:tcPr>
          <w:p>
            <w:pPr>
              <w:spacing w:before="0" w:after="0" w:line="276" w:lineRule="auto"/>
              <w:jc w:val="left"/>
            </w:pPr>
            <w:r>
              <w:rPr>
                <w:rFonts w:ascii="Calibri" w:hAnsi="Calibri"/>
                <w:b/>
                <w:color w:val="FFFFFF"/>
                <w:sz w:val="20"/>
              </w:rPr>
              <w:t>Rol</w:t>
            </w:r>
          </w:p>
        </w:tc>
        <w:tc>
          <w:tcPr>
            <w:tcW w:type="dxa" w:w="1008"/>
            <w:shd w:fill="1B365D"/>
            <w:tcMar>
              <w:top w:w="120" w:type="dxa"/>
              <w:bottom w:w="120" w:type="dxa"/>
              <w:left w:w="140" w:type="dxa"/>
              <w:right w:w="140" w:type="dxa"/>
            </w:tcMar>
            <w:vAlign w:val="center"/>
          </w:tcPr>
          <w:p>
            <w:pPr>
              <w:spacing w:before="0" w:after="0" w:line="276" w:lineRule="auto"/>
              <w:jc w:val="left"/>
            </w:pPr>
            <w:r>
              <w:rPr>
                <w:rFonts w:ascii="Calibri" w:hAnsi="Calibri"/>
                <w:b/>
                <w:color w:val="FFFFFF"/>
                <w:sz w:val="20"/>
              </w:rPr>
              <w:t>Prioridad</w:t>
            </w:r>
          </w:p>
        </w:tc>
        <w:tc>
          <w:tcPr>
            <w:tcW w:type="dxa" w:w="576"/>
            <w:shd w:fill="1B365D"/>
            <w:tcMar>
              <w:top w:w="120" w:type="dxa"/>
              <w:bottom w:w="120" w:type="dxa"/>
              <w:left w:w="140" w:type="dxa"/>
              <w:right w:w="140" w:type="dxa"/>
            </w:tcMar>
            <w:vAlign w:val="center"/>
          </w:tcPr>
          <w:p>
            <w:pPr>
              <w:spacing w:before="0" w:after="0" w:line="276" w:lineRule="auto"/>
              <w:jc w:val="left"/>
            </w:pPr>
            <w:r>
              <w:rPr>
                <w:rFonts w:ascii="Calibri" w:hAnsi="Calibri"/>
                <w:b/>
                <w:color w:val="FFFFFF"/>
                <w:sz w:val="20"/>
              </w:rPr>
              <w:t>Est.</w:t>
            </w:r>
          </w:p>
        </w:tc>
      </w:tr>
      <w:tr>
        <w:tc>
          <w:tcPr>
            <w:tcW w:type="dxa" w:w="115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TASK-01</w:t>
            </w:r>
          </w:p>
        </w:tc>
        <w:tc>
          <w:tcPr>
            <w:tcW w:type="dxa" w:w="3168"/>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Configurar DDL en PostgreSQL y tipos TypeScript (Donación, Usuario, Reserva).</w:t>
            </w:r>
          </w:p>
        </w:tc>
        <w:tc>
          <w:tcPr>
            <w:tcW w:type="dxa" w:w="158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Transversal</w:t>
            </w:r>
          </w:p>
        </w:tc>
        <w:tc>
          <w:tcPr>
            <w:tcW w:type="dxa" w:w="158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Santiago Valencia</w:t>
            </w:r>
          </w:p>
        </w:tc>
        <w:tc>
          <w:tcPr>
            <w:tcW w:type="dxa" w:w="129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Backend</w:t>
            </w:r>
          </w:p>
        </w:tc>
        <w:tc>
          <w:tcPr>
            <w:tcW w:type="dxa" w:w="1008"/>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Alta (P1)</w:t>
            </w:r>
          </w:p>
        </w:tc>
        <w:tc>
          <w:tcPr>
            <w:tcW w:type="dxa" w:w="57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3h</w:t>
            </w:r>
          </w:p>
        </w:tc>
      </w:tr>
      <w:tr>
        <w:tc>
          <w:tcPr>
            <w:tcW w:type="dxa" w:w="1152"/>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TASK-02</w:t>
            </w:r>
          </w:p>
        </w:tc>
        <w:tc>
          <w:tcPr>
            <w:tcW w:type="dxa" w:w="3168"/>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Diseñar formulario Mobile-First de donación con selector y fecha/hora límite.</w:t>
            </w:r>
          </w:p>
        </w:tc>
        <w:tc>
          <w:tcPr>
            <w:tcW w:type="dxa" w:w="1584"/>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CA-01.1</w:t>
            </w:r>
          </w:p>
        </w:tc>
        <w:tc>
          <w:tcPr>
            <w:tcW w:type="dxa" w:w="1584"/>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Juan Sebastián Delgado</w:t>
            </w:r>
          </w:p>
        </w:tc>
        <w:tc>
          <w:tcPr>
            <w:tcW w:type="dxa" w:w="1296"/>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UX Designer</w:t>
            </w:r>
          </w:p>
        </w:tc>
        <w:tc>
          <w:tcPr>
            <w:tcW w:type="dxa" w:w="1008"/>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Alta (P1)</w:t>
            </w:r>
          </w:p>
        </w:tc>
        <w:tc>
          <w:tcPr>
            <w:tcW w:type="dxa" w:w="576"/>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3h</w:t>
            </w:r>
          </w:p>
        </w:tc>
      </w:tr>
      <w:tr>
        <w:tc>
          <w:tcPr>
            <w:tcW w:type="dxa" w:w="115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TASK-03</w:t>
            </w:r>
          </w:p>
        </w:tc>
        <w:tc>
          <w:tcPr>
            <w:tcW w:type="dxa" w:w="3168"/>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Implementar validaciones en cliente para ventana de recogida y horas pasadas.</w:t>
            </w:r>
          </w:p>
        </w:tc>
        <w:tc>
          <w:tcPr>
            <w:tcW w:type="dxa" w:w="158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CA-01.2 / CA-01.3</w:t>
            </w:r>
          </w:p>
        </w:tc>
        <w:tc>
          <w:tcPr>
            <w:tcW w:type="dxa" w:w="158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Alejandro Rodríguez</w:t>
            </w:r>
          </w:p>
        </w:tc>
        <w:tc>
          <w:tcPr>
            <w:tcW w:type="dxa" w:w="129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Full-Stack</w:t>
            </w:r>
          </w:p>
        </w:tc>
        <w:tc>
          <w:tcPr>
            <w:tcW w:type="dxa" w:w="1008"/>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Alta (P1)</w:t>
            </w:r>
          </w:p>
        </w:tc>
        <w:tc>
          <w:tcPr>
            <w:tcW w:type="dxa" w:w="57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3h</w:t>
            </w:r>
          </w:p>
        </w:tc>
      </w:tr>
      <w:tr>
        <w:tc>
          <w:tcPr>
            <w:tcW w:type="dxa" w:w="1152"/>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TASK-04</w:t>
            </w:r>
          </w:p>
        </w:tc>
        <w:tc>
          <w:tcPr>
            <w:tcW w:type="dxa" w:w="3168"/>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Integrar casilla obligatoria de exención legal Ley 1990 y flag requiereFrio.</w:t>
            </w:r>
          </w:p>
        </w:tc>
        <w:tc>
          <w:tcPr>
            <w:tcW w:type="dxa" w:w="1584"/>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CA-01.4</w:t>
            </w:r>
          </w:p>
        </w:tc>
        <w:tc>
          <w:tcPr>
            <w:tcW w:type="dxa" w:w="1584"/>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Alejandro Rodríguez</w:t>
            </w:r>
          </w:p>
        </w:tc>
        <w:tc>
          <w:tcPr>
            <w:tcW w:type="dxa" w:w="1296"/>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Full-Stack</w:t>
            </w:r>
          </w:p>
        </w:tc>
        <w:tc>
          <w:tcPr>
            <w:tcW w:type="dxa" w:w="1008"/>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Alta (P1)</w:t>
            </w:r>
          </w:p>
        </w:tc>
        <w:tc>
          <w:tcPr>
            <w:tcW w:type="dxa" w:w="576"/>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2h</w:t>
            </w:r>
          </w:p>
        </w:tc>
      </w:tr>
      <w:tr>
        <w:tc>
          <w:tcPr>
            <w:tcW w:type="dxa" w:w="115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TASK-05</w:t>
            </w:r>
          </w:p>
        </w:tc>
        <w:tc>
          <w:tcPr>
            <w:tcW w:type="dxa" w:w="3168"/>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Configurar persistencia offline con IndexedDB para plazas de mercado sin señal.</w:t>
            </w:r>
          </w:p>
        </w:tc>
        <w:tc>
          <w:tcPr>
            <w:tcW w:type="dxa" w:w="158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CA-01.5</w:t>
            </w:r>
          </w:p>
        </w:tc>
        <w:tc>
          <w:tcPr>
            <w:tcW w:type="dxa" w:w="158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Santiago Valencia</w:t>
            </w:r>
          </w:p>
        </w:tc>
        <w:tc>
          <w:tcPr>
            <w:tcW w:type="dxa" w:w="129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Backend</w:t>
            </w:r>
          </w:p>
        </w:tc>
        <w:tc>
          <w:tcPr>
            <w:tcW w:type="dxa" w:w="1008"/>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Alta (P1)</w:t>
            </w:r>
          </w:p>
        </w:tc>
        <w:tc>
          <w:tcPr>
            <w:tcW w:type="dxa" w:w="57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4h</w:t>
            </w:r>
          </w:p>
        </w:tc>
      </w:tr>
      <w:tr>
        <w:tc>
          <w:tcPr>
            <w:tcW w:type="dxa" w:w="1152"/>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TASK-06</w:t>
            </w:r>
          </w:p>
        </w:tc>
        <w:tc>
          <w:tcPr>
            <w:tcW w:type="dxa" w:w="3168"/>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Construir catálogo reactivo de donaciones disponibles con filtros por sector.</w:t>
            </w:r>
          </w:p>
        </w:tc>
        <w:tc>
          <w:tcPr>
            <w:tcW w:type="dxa" w:w="1584"/>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CA-02.1 / CA-02.3</w:t>
            </w:r>
          </w:p>
        </w:tc>
        <w:tc>
          <w:tcPr>
            <w:tcW w:type="dxa" w:w="1584"/>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Alejandro Rodríguez</w:t>
            </w:r>
          </w:p>
        </w:tc>
        <w:tc>
          <w:tcPr>
            <w:tcW w:type="dxa" w:w="1296"/>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Full-Stack</w:t>
            </w:r>
          </w:p>
        </w:tc>
        <w:tc>
          <w:tcPr>
            <w:tcW w:type="dxa" w:w="1008"/>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Alta (P1)</w:t>
            </w:r>
          </w:p>
        </w:tc>
        <w:tc>
          <w:tcPr>
            <w:tcW w:type="dxa" w:w="576"/>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3h</w:t>
            </w:r>
          </w:p>
        </w:tc>
      </w:tr>
      <w:tr>
        <w:tc>
          <w:tcPr>
            <w:tcW w:type="dxa" w:w="115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TASK-07</w:t>
            </w:r>
          </w:p>
        </w:tc>
        <w:tc>
          <w:tcPr>
            <w:tcW w:type="dxa" w:w="3168"/>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Implementar etiqueta destacada de cadena de frío y filtro para comedores sin nevera.</w:t>
            </w:r>
          </w:p>
        </w:tc>
        <w:tc>
          <w:tcPr>
            <w:tcW w:type="dxa" w:w="158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CA-02.2</w:t>
            </w:r>
          </w:p>
        </w:tc>
        <w:tc>
          <w:tcPr>
            <w:tcW w:type="dxa" w:w="158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Juan Sebastián Delgado</w:t>
            </w:r>
          </w:p>
        </w:tc>
        <w:tc>
          <w:tcPr>
            <w:tcW w:type="dxa" w:w="129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UX Designer</w:t>
            </w:r>
          </w:p>
        </w:tc>
        <w:tc>
          <w:tcPr>
            <w:tcW w:type="dxa" w:w="1008"/>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Alta (P1)</w:t>
            </w:r>
          </w:p>
        </w:tc>
        <w:tc>
          <w:tcPr>
            <w:tcW w:type="dxa" w:w="57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2h</w:t>
            </w:r>
          </w:p>
        </w:tc>
      </w:tr>
      <w:tr>
        <w:tc>
          <w:tcPr>
            <w:tcW w:type="dxa" w:w="1152"/>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TASK-08</w:t>
            </w:r>
          </w:p>
        </w:tc>
        <w:tc>
          <w:tcPr>
            <w:tcW w:type="dxa" w:w="3168"/>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Desarrollar procedimiento atómico SQL con UPDATE condicional para toma única.</w:t>
            </w:r>
          </w:p>
        </w:tc>
        <w:tc>
          <w:tcPr>
            <w:tcW w:type="dxa" w:w="1584"/>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CA-03.1</w:t>
            </w:r>
          </w:p>
        </w:tc>
        <w:tc>
          <w:tcPr>
            <w:tcW w:type="dxa" w:w="1584"/>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Santiago Valencia</w:t>
            </w:r>
          </w:p>
        </w:tc>
        <w:tc>
          <w:tcPr>
            <w:tcW w:type="dxa" w:w="1296"/>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Backend</w:t>
            </w:r>
          </w:p>
        </w:tc>
        <w:tc>
          <w:tcPr>
            <w:tcW w:type="dxa" w:w="1008"/>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Alta (P1)</w:t>
            </w:r>
          </w:p>
        </w:tc>
        <w:tc>
          <w:tcPr>
            <w:tcW w:type="dxa" w:w="576"/>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4h</w:t>
            </w:r>
          </w:p>
        </w:tc>
      </w:tr>
      <w:tr>
        <w:tc>
          <w:tcPr>
            <w:tcW w:type="dxa" w:w="115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TASK-09</w:t>
            </w:r>
          </w:p>
        </w:tc>
        <w:tc>
          <w:tcPr>
            <w:tcW w:type="dxa" w:w="3168"/>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Implementar respuesta HTTP 409 y modal amigable ante colisión de toma concurrente.</w:t>
            </w:r>
          </w:p>
        </w:tc>
        <w:tc>
          <w:tcPr>
            <w:tcW w:type="dxa" w:w="158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CA-03.2 / CA-03.3</w:t>
            </w:r>
          </w:p>
        </w:tc>
        <w:tc>
          <w:tcPr>
            <w:tcW w:type="dxa" w:w="158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Alejandro Rodríguez</w:t>
            </w:r>
          </w:p>
        </w:tc>
        <w:tc>
          <w:tcPr>
            <w:tcW w:type="dxa" w:w="129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Full-Stack</w:t>
            </w:r>
          </w:p>
        </w:tc>
        <w:tc>
          <w:tcPr>
            <w:tcW w:type="dxa" w:w="1008"/>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Alta (P1)</w:t>
            </w:r>
          </w:p>
        </w:tc>
        <w:tc>
          <w:tcPr>
            <w:tcW w:type="dxa" w:w="57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3h</w:t>
            </w:r>
          </w:p>
        </w:tc>
      </w:tr>
      <w:tr>
        <w:tc>
          <w:tcPr>
            <w:tcW w:type="dxa" w:w="1152"/>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TASK-10</w:t>
            </w:r>
          </w:p>
        </w:tc>
        <w:tc>
          <w:tcPr>
            <w:tcW w:type="dxa" w:w="3168"/>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Diseñar y ejecutar suite de pruebas automatizadas de concurrencia para CMP-03.</w:t>
            </w:r>
          </w:p>
        </w:tc>
        <w:tc>
          <w:tcPr>
            <w:tcW w:type="dxa" w:w="1584"/>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CA-03.2 (QA)</w:t>
            </w:r>
          </w:p>
        </w:tc>
        <w:tc>
          <w:tcPr>
            <w:tcW w:type="dxa" w:w="1584"/>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Felipe Charria</w:t>
            </w:r>
          </w:p>
        </w:tc>
        <w:tc>
          <w:tcPr>
            <w:tcW w:type="dxa" w:w="1296"/>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QA Engineer</w:t>
            </w:r>
          </w:p>
        </w:tc>
        <w:tc>
          <w:tcPr>
            <w:tcW w:type="dxa" w:w="1008"/>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Alta (P1)</w:t>
            </w:r>
          </w:p>
        </w:tc>
        <w:tc>
          <w:tcPr>
            <w:tcW w:type="dxa" w:w="576"/>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4h</w:t>
            </w:r>
          </w:p>
        </w:tc>
      </w:tr>
      <w:tr>
        <w:tc>
          <w:tcPr>
            <w:tcW w:type="dxa" w:w="115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TASK-11</w:t>
            </w:r>
          </w:p>
        </w:tc>
        <w:tc>
          <w:tcPr>
            <w:tcW w:type="dxa" w:w="3168"/>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Construir flujo móvil de confirmación de entrega física en comedor con receptor.</w:t>
            </w:r>
          </w:p>
        </w:tc>
        <w:tc>
          <w:tcPr>
            <w:tcW w:type="dxa" w:w="158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CA-04.1 / CA-04.2</w:t>
            </w:r>
          </w:p>
        </w:tc>
        <w:tc>
          <w:tcPr>
            <w:tcW w:type="dxa" w:w="158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Alejandro Rodríguez</w:t>
            </w:r>
          </w:p>
        </w:tc>
        <w:tc>
          <w:tcPr>
            <w:tcW w:type="dxa" w:w="129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Full-Stack</w:t>
            </w:r>
          </w:p>
        </w:tc>
        <w:tc>
          <w:tcPr>
            <w:tcW w:type="dxa" w:w="1008"/>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Alta (P1)</w:t>
            </w:r>
          </w:p>
        </w:tc>
        <w:tc>
          <w:tcPr>
            <w:tcW w:type="dxa" w:w="57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3h</w:t>
            </w:r>
          </w:p>
        </w:tc>
      </w:tr>
      <w:tr>
        <w:tc>
          <w:tcPr>
            <w:tcW w:type="dxa" w:w="1152"/>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TASK-12</w:t>
            </w:r>
          </w:p>
        </w:tc>
        <w:tc>
          <w:tcPr>
            <w:tcW w:type="dxa" w:w="3168"/>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Auditar y verificar no almacenamiento de datos personales de comensales (Ley 1581).</w:t>
            </w:r>
          </w:p>
        </w:tc>
        <w:tc>
          <w:tcPr>
            <w:tcW w:type="dxa" w:w="1584"/>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CA-04.3 (Habeas Data)</w:t>
            </w:r>
          </w:p>
        </w:tc>
        <w:tc>
          <w:tcPr>
            <w:tcW w:type="dxa" w:w="1584"/>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Felipe Charria</w:t>
            </w:r>
          </w:p>
        </w:tc>
        <w:tc>
          <w:tcPr>
            <w:tcW w:type="dxa" w:w="1296"/>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QA Engineer</w:t>
            </w:r>
          </w:p>
        </w:tc>
        <w:tc>
          <w:tcPr>
            <w:tcW w:type="dxa" w:w="1008"/>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Alta (P1)</w:t>
            </w:r>
          </w:p>
        </w:tc>
        <w:tc>
          <w:tcPr>
            <w:tcW w:type="dxa" w:w="576"/>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2h</w:t>
            </w:r>
          </w:p>
        </w:tc>
      </w:tr>
      <w:tr>
        <w:tc>
          <w:tcPr>
            <w:tcW w:type="dxa" w:w="115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TASK-13</w:t>
            </w:r>
          </w:p>
        </w:tc>
        <w:tc>
          <w:tcPr>
            <w:tcW w:type="dxa" w:w="3168"/>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Implementar pantalla de consulta pública y línea de tiempo por código DON-XXX.</w:t>
            </w:r>
          </w:p>
        </w:tc>
        <w:tc>
          <w:tcPr>
            <w:tcW w:type="dxa" w:w="158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CA-05.1 / CA-05.2</w:t>
            </w:r>
          </w:p>
        </w:tc>
        <w:tc>
          <w:tcPr>
            <w:tcW w:type="dxa" w:w="158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Juan Sebastián Delgado</w:t>
            </w:r>
          </w:p>
        </w:tc>
        <w:tc>
          <w:tcPr>
            <w:tcW w:type="dxa" w:w="129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UX Designer</w:t>
            </w:r>
          </w:p>
        </w:tc>
        <w:tc>
          <w:tcPr>
            <w:tcW w:type="dxa" w:w="1008"/>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Alta (P1)</w:t>
            </w:r>
          </w:p>
        </w:tc>
        <w:tc>
          <w:tcPr>
            <w:tcW w:type="dxa" w:w="57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3h</w:t>
            </w:r>
          </w:p>
        </w:tc>
      </w:tr>
      <w:tr>
        <w:tc>
          <w:tcPr>
            <w:tcW w:type="dxa" w:w="1152"/>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TASK-14</w:t>
            </w:r>
          </w:p>
        </w:tc>
        <w:tc>
          <w:tcPr>
            <w:tcW w:type="dxa" w:w="3168"/>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Construir agregador de métricas reales de kilos rescatados sin datos inventados.</w:t>
            </w:r>
          </w:p>
        </w:tc>
        <w:tc>
          <w:tcPr>
            <w:tcW w:type="dxa" w:w="1584"/>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CA-05.3 (Gobierno)</w:t>
            </w:r>
          </w:p>
        </w:tc>
        <w:tc>
          <w:tcPr>
            <w:tcW w:type="dxa" w:w="1584"/>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Eduard Criollo</w:t>
            </w:r>
          </w:p>
        </w:tc>
        <w:tc>
          <w:tcPr>
            <w:tcW w:type="dxa" w:w="1296"/>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Product Owner</w:t>
            </w:r>
          </w:p>
        </w:tc>
        <w:tc>
          <w:tcPr>
            <w:tcW w:type="dxa" w:w="1008"/>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Alta (P1)</w:t>
            </w:r>
          </w:p>
        </w:tc>
        <w:tc>
          <w:tcPr>
            <w:tcW w:type="dxa" w:w="576"/>
            <w:shd w:fill="F4F6F9"/>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3h</w:t>
            </w:r>
          </w:p>
        </w:tc>
      </w:tr>
      <w:tr>
        <w:tc>
          <w:tcPr>
            <w:tcW w:type="dxa" w:w="1152"/>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TASK-15</w:t>
            </w:r>
          </w:p>
        </w:tc>
        <w:tc>
          <w:tcPr>
            <w:tcW w:type="dxa" w:w="3168"/>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Configurar pipeline CI en GitHub Actions y monitoreo de límites Free Tier.</w:t>
            </w:r>
          </w:p>
        </w:tc>
        <w:tc>
          <w:tcPr>
            <w:tcW w:type="dxa" w:w="158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RNF-005 (DevOps)</w:t>
            </w:r>
          </w:p>
        </w:tc>
        <w:tc>
          <w:tcPr>
            <w:tcW w:type="dxa" w:w="1584"/>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Juan Camilo Peña</w:t>
            </w:r>
          </w:p>
        </w:tc>
        <w:tc>
          <w:tcPr>
            <w:tcW w:type="dxa" w:w="129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DevOps</w:t>
            </w:r>
          </w:p>
        </w:tc>
        <w:tc>
          <w:tcPr>
            <w:tcW w:type="dxa" w:w="1008"/>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Alta (P1)</w:t>
            </w:r>
          </w:p>
        </w:tc>
        <w:tc>
          <w:tcPr>
            <w:tcW w:type="dxa" w:w="576"/>
            <w:shd w:fill="FFFFFF"/>
            <w:tcMar>
              <w:top w:w="120" w:type="dxa"/>
              <w:bottom w:w="120" w:type="dxa"/>
              <w:left w:w="140" w:type="dxa"/>
              <w:right w:w="140" w:type="dxa"/>
            </w:tcMar>
            <w:vAlign w:val="center"/>
          </w:tcPr>
          <w:p>
            <w:pPr>
              <w:spacing w:before="0" w:after="0" w:line="276" w:lineRule="auto"/>
              <w:jc w:val="left"/>
            </w:pPr>
            <w:r>
              <w:rPr>
                <w:rFonts w:ascii="Calibri" w:hAnsi="Calibri"/>
                <w:b w:val="0"/>
                <w:color w:val="282828"/>
                <w:sz w:val="18"/>
              </w:rPr>
              <w:t>4h</w:t>
            </w:r>
          </w:p>
        </w:tc>
      </w:tr>
    </w:tbl>
    <w:p>
      <w:pPr>
        <w:spacing w:after="120"/>
      </w:pPr>
    </w:p>
    <w:p>
      <w:pPr>
        <w:pStyle w:val="Heading1"/>
      </w:pPr>
      <w:r>
        <w:t>5. Enlaces a los Habilitadores Técnicos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left w:val="single" w:sz="24" w:space="0" w:color="1B365D"/>
              <w:top w:val="none"/>
              <w:right w:val="none"/>
              <w:bottom w:val="none"/>
            </w:tcBorders>
          </w:tcPr>
          <w:p>
            <w:pPr>
              <w:spacing w:before="0" w:after="40" w:line="276" w:lineRule="auto"/>
            </w:pPr>
            <w:r>
              <w:rPr>
                <w:rFonts w:ascii="Calibri" w:hAnsi="Calibri"/>
                <w:b/>
                <w:color w:val="1B365D"/>
                <w:sz w:val="20"/>
              </w:rPr>
              <w:t>EVIDENCIA DE HABILITADORES TÉCNICOS ACTIVOS (ENTREGA 3A)</w:t>
              <w:br/>
            </w:r>
            <w:r>
              <w:rPr>
                <w:rFonts w:ascii="Calibri" w:hAnsi="Calibri"/>
                <w:color w:val="323232"/>
                <w:sz w:val="19"/>
              </w:rPr>
              <w:t>1. Repositorio Oficial en GitHub:</w:t>
              <w:br/>
              <w:t xml:space="preserve">   https://github.com/EduardCY/nexo-rescate-alimentos</w:t>
              <w:br/>
              <w:t xml:space="preserve">   (Incluye ramas de trabajo, constitución en docs/spec/constitucion.md, comportamientos en docs/spec/comportamientos.md y plan técnico en docs/spec/plan-tecnico.md).</w:t>
              <w:br/>
              <w:br/>
              <w:t>2. Tablero de Gestión del Proyecto (GitHub Projects):</w:t>
              <w:br/>
              <w:t xml:space="preserve">   https://github.com/users/EduardCY/projects/1</w:t>
              <w:br/>
              <w:t xml:space="preserve">   (Configurado con los cuatro estados normativos: Por hacer, En curso, En revisión, Terminado, y las 15 tareas atómicas del Sprint 1 cargadas con estimación y responsable asignado).</w:t>
              <w:br/>
              <w:br/>
              <w:t>3. Entorno de Demostración Desplegado en la Nube:</w:t>
              <w:br/>
              <w:t xml:space="preserve">   https://nexo-rescate-alimentos.vercel.app</w:t>
              <w:br/>
              <w:t xml:space="preserve">   (Despliegue serverless continuo sobre Vercel Edge conectado a base de datos PostgreSQL en Supabase, operando en capa $0 USD/mes).</w:t>
              <w:br/>
              <w:br/>
              <w:t>4. Acceso de Inspección Docente:</w:t>
              <w:br/>
              <w:t xml:space="preserve">   El profesor César Augusto Navia Rojas ha sido invitado formalmente al repositorio y al tablero con permisos de lectura y revisión.</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