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jc w:val="center"/>
      </w:pPr>
      <w:r>
        <w:rPr>
          <w:rFonts w:ascii="Calibri" w:hAnsi="Calibri"/>
          <w:b/>
          <w:color w:val="2E5B88"/>
          <w:sz w:val="19"/>
        </w:rPr>
        <w:t>UNIVERSIDAD AUTÓNOMA DE OCCIDENTE — FACULTAD DE INGENIERÍA</w:t>
        <w:br/>
      </w:r>
      <w:r>
        <w:rPr>
          <w:rFonts w:ascii="Calibri" w:hAnsi="Calibri"/>
          <w:b/>
          <w:color w:val="5A5A5A"/>
          <w:sz w:val="18"/>
        </w:rPr>
        <w:t>PROYECTO INFORMÁTICO 2 · MÓDULO 3 · SESIÓN 12</w:t>
        <w:br/>
      </w:r>
    </w:p>
    <w:p>
      <w:pPr>
        <w:spacing w:before="40" w:after="80" w:line="264" w:lineRule="auto"/>
        <w:jc w:val="center"/>
      </w:pPr>
      <w:r>
        <w:rPr>
          <w:rFonts w:ascii="Calibri" w:hAnsi="Calibri"/>
          <w:b/>
          <w:color w:val="1B365D"/>
          <w:sz w:val="32"/>
        </w:rPr>
        <w:t>ENTREGA 3B: EL MVP DEL NÚCLEO FUNCIONANDO</w:t>
        <w:br/>
      </w:r>
      <w:r>
        <w:rPr>
          <w:rFonts w:ascii="Calibri" w:hAnsi="Calibri"/>
          <w:b/>
          <w:color w:val="2E5B88"/>
          <w:sz w:val="22"/>
        </w:rPr>
        <w:t>Red de Rescate de Alimentos (Santiago de Cali) · Caso: Fundación Mesa Común</w:t>
        <w:br/>
      </w:r>
      <w:r>
        <w:rPr>
          <w:rFonts w:ascii="Calibri" w:hAnsi="Calibri"/>
          <w:color w:val="5A5A5A"/>
          <w:sz w:val="17"/>
        </w:rPr>
        <w:t>Equipo 3: Nexo Cívico Studio | Fecha Límite: Jueves 29 de octubre de 2026, 11:59 p. m. | Peso: 30%</w:t>
      </w:r>
    </w:p>
    <w:p>
      <w:pPr>
        <w:spacing w:before="80" w:after="40"/>
      </w:pPr>
      <w:r>
        <w:rPr>
          <w:rFonts w:ascii="Calibri" w:hAnsi="Calibri"/>
          <w:b/>
          <w:color w:val="1B365D"/>
          <w:sz w:val="21"/>
        </w:rPr>
        <w:t>1. Enlaces Oficiales Activos del Proyecto (Repositorio, Tablero, Despliegue y Grabación)</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5184"/>
        <w:gridCol w:w="5184"/>
      </w:tblGrid>
      <w:tr>
        <w:tc>
          <w:tcPr>
            <w:tcW w:type="dxa" w:w="3600"/>
            <w:shd w:fill="F0F4F8"/>
            <w:tcMar>
              <w:top w:w="50" w:type="dxa"/>
              <w:bottom w:w="50" w:type="dxa"/>
              <w:left w:w="90" w:type="dxa"/>
              <w:right w:w="90" w:type="dxa"/>
            </w:tcMar>
          </w:tcPr>
          <w:p>
            <w:r>
              <w:rPr>
                <w:rFonts w:ascii="Calibri" w:hAnsi="Calibri"/>
                <w:b/>
                <w:color w:val="1B365D"/>
                <w:sz w:val="17"/>
              </w:rPr>
              <w:t>Repositorio GitHub (main integrado):</w:t>
            </w:r>
          </w:p>
        </w:tc>
        <w:tc>
          <w:tcPr>
            <w:tcW w:type="dxa" w:w="6768"/>
            <w:shd w:fill="FFFFFF"/>
            <w:tcMar>
              <w:top w:w="50" w:type="dxa"/>
              <w:bottom w:w="50" w:type="dxa"/>
              <w:left w:w="90" w:type="dxa"/>
              <w:right w:w="90" w:type="dxa"/>
            </w:tcMar>
          </w:tcPr>
          <w:p>
            <w:r/>
            <w:hyperlink r:id="rId9">
              <w:r>
                <w:rPr>
                  <w:rFonts w:ascii="Calibri" w:hAnsi="Calibri"/>
                  <w:sz w:val="17"/>
                  <w:color w:val="0052CC"/>
                  <w:u w:val="single"/>
                  <w:b/>
                </w:rPr>
                <w:t>github.com/EduardCY/nexo-rescate-alimentos</w:t>
              </w:r>
            </w:hyperlink>
          </w:p>
        </w:tc>
      </w:tr>
      <w:tr>
        <w:tc>
          <w:tcPr>
            <w:tcW w:type="dxa" w:w="3600"/>
            <w:shd w:fill="F0F4F8"/>
            <w:tcMar>
              <w:top w:w="50" w:type="dxa"/>
              <w:bottom w:w="50" w:type="dxa"/>
              <w:left w:w="90" w:type="dxa"/>
              <w:right w:w="90" w:type="dxa"/>
            </w:tcMar>
          </w:tcPr>
          <w:p>
            <w:r>
              <w:rPr>
                <w:rFonts w:ascii="Calibri" w:hAnsi="Calibri"/>
                <w:b/>
                <w:color w:val="1B365D"/>
                <w:sz w:val="17"/>
              </w:rPr>
              <w:t>Tablero GitHub Projects (congelado):</w:t>
            </w:r>
          </w:p>
        </w:tc>
        <w:tc>
          <w:tcPr>
            <w:tcW w:type="dxa" w:w="6768"/>
            <w:shd w:fill="F9FBFD"/>
            <w:tcMar>
              <w:top w:w="50" w:type="dxa"/>
              <w:bottom w:w="50" w:type="dxa"/>
              <w:left w:w="90" w:type="dxa"/>
              <w:right w:w="90" w:type="dxa"/>
            </w:tcMar>
          </w:tcPr>
          <w:p>
            <w:r/>
            <w:hyperlink r:id="rId10">
              <w:r>
                <w:rPr>
                  <w:rFonts w:ascii="Calibri" w:hAnsi="Calibri"/>
                  <w:sz w:val="17"/>
                  <w:color w:val="0052CC"/>
                  <w:u w:val="single"/>
                  <w:b/>
                </w:rPr>
                <w:t>github.com/users/EduardCY/projects/1</w:t>
              </w:r>
            </w:hyperlink>
          </w:p>
        </w:tc>
      </w:tr>
      <w:tr>
        <w:tc>
          <w:tcPr>
            <w:tcW w:type="dxa" w:w="3600"/>
            <w:shd w:fill="F0F4F8"/>
            <w:tcMar>
              <w:top w:w="50" w:type="dxa"/>
              <w:bottom w:w="50" w:type="dxa"/>
              <w:left w:w="90" w:type="dxa"/>
              <w:right w:w="90" w:type="dxa"/>
            </w:tcMar>
          </w:tcPr>
          <w:p>
            <w:r>
              <w:rPr>
                <w:rFonts w:ascii="Calibri" w:hAnsi="Calibri"/>
                <w:b/>
                <w:color w:val="1B365D"/>
                <w:sz w:val="17"/>
              </w:rPr>
              <w:t>Aplicación en Vivo (Vercel Edge):</w:t>
            </w:r>
          </w:p>
        </w:tc>
        <w:tc>
          <w:tcPr>
            <w:tcW w:type="dxa" w:w="6768"/>
            <w:shd w:fill="FFFFFF"/>
            <w:tcMar>
              <w:top w:w="50" w:type="dxa"/>
              <w:bottom w:w="50" w:type="dxa"/>
              <w:left w:w="90" w:type="dxa"/>
              <w:right w:w="90" w:type="dxa"/>
            </w:tcMar>
          </w:tcPr>
          <w:p>
            <w:r/>
            <w:hyperlink r:id="rId11">
              <w:r>
                <w:rPr>
                  <w:rFonts w:ascii="Calibri" w:hAnsi="Calibri"/>
                  <w:sz w:val="17"/>
                  <w:color w:val="0052CC"/>
                  <w:u w:val="single"/>
                  <w:b/>
                </w:rPr>
                <w:t>nexo-rescate-alimentos.vercel.app</w:t>
              </w:r>
            </w:hyperlink>
          </w:p>
        </w:tc>
      </w:tr>
      <w:tr>
        <w:tc>
          <w:tcPr>
            <w:tcW w:type="dxa" w:w="3600"/>
            <w:shd w:fill="F0F4F8"/>
            <w:tcMar>
              <w:top w:w="50" w:type="dxa"/>
              <w:bottom w:w="50" w:type="dxa"/>
              <w:left w:w="90" w:type="dxa"/>
              <w:right w:w="90" w:type="dxa"/>
            </w:tcMar>
          </w:tcPr>
          <w:p>
            <w:r>
              <w:rPr>
                <w:rFonts w:ascii="Calibri" w:hAnsi="Calibri"/>
                <w:b/>
                <w:color w:val="1B365D"/>
                <w:sz w:val="17"/>
              </w:rPr>
              <w:t>Grabación de Pantalla (3 a 5 min):</w:t>
            </w:r>
          </w:p>
        </w:tc>
        <w:tc>
          <w:tcPr>
            <w:tcW w:type="dxa" w:w="6768"/>
            <w:shd w:fill="F9FBFD"/>
            <w:tcMar>
              <w:top w:w="50" w:type="dxa"/>
              <w:bottom w:w="50" w:type="dxa"/>
              <w:left w:w="90" w:type="dxa"/>
              <w:right w:w="90" w:type="dxa"/>
            </w:tcMar>
          </w:tcPr>
          <w:p>
            <w:r/>
            <w:hyperlink r:id="rId12">
              <w:r>
                <w:rPr>
                  <w:rFonts w:ascii="Calibri" w:hAnsi="Calibri"/>
                  <w:sz w:val="17"/>
                  <w:color w:val="0052CC"/>
                  <w:u w:val="single"/>
                  <w:b/>
                </w:rPr>
                <w:t>[Pegar Enlace de Video (Google Drive / YouTube / Loom)]</w:t>
              </w:r>
            </w:hyperlink>
            <w:r>
              <w:rPr>
                <w:color w:val="5A5A5A"/>
                <w:sz w:val="16"/>
              </w:rPr>
              <w:t xml:space="preserve"> (Grabación sin cortes de 4:15 min ejecutando cada criterio)</w:t>
            </w:r>
          </w:p>
        </w:tc>
      </w:tr>
    </w:tbl>
    <w:p>
      <w:pPr>
        <w:spacing w:before="40" w:after="40"/>
      </w:pPr>
    </w:p>
    <w:p>
      <w:pPr>
        <w:spacing w:before="40" w:after="40"/>
      </w:pPr>
      <w:r>
        <w:rPr>
          <w:rFonts w:ascii="Calibri" w:hAnsi="Calibri"/>
          <w:b/>
          <w:color w:val="1B365D"/>
          <w:sz w:val="21"/>
        </w:rPr>
        <w:t>2. Estado de Ejecución del Núcleo y Cumplimiento de la Definición de Terminado</w:t>
      </w:r>
    </w:p>
    <w:p>
      <w:pPr>
        <w:spacing w:before="0" w:after="60" w:line="259" w:lineRule="auto"/>
      </w:pPr>
      <w:r>
        <w:rPr>
          <w:rFonts w:ascii="Calibri" w:hAnsi="Calibri"/>
          <w:color w:val="222222"/>
          <w:sz w:val="16"/>
        </w:rPr>
        <w:t>El núcleo del sistema resuelve los 5 comportamientos que permiten a la Fundación Mesa Común sustituir la coordinación manual e insegura por grupos de WhatsApp. En estricto apego a la guía del Módulo 3 («La entrega no premia el volumen: un comportamiento cerrado de punta a punta vale más que tres a medias»), el equipo entrega 4 de los 5 comportamientos completamente terminados (80% del núcleo), incluyendo el corazón técnico del MVP (CMP-03: bloqueo concurrente de la segunda toma). Cada uno de los 4 comportamientos satisface las 4 condiciones obligatorias de «Terminado»:</w:t>
      </w:r>
    </w:p>
    <w:p>
      <w:pPr>
        <w:spacing w:before="0" w:after="20" w:line="252" w:lineRule="auto"/>
        <w:ind w:left="288"/>
      </w:pPr>
      <w:r>
        <w:rPr>
          <w:rFonts w:ascii="Calibri" w:hAnsi="Calibri"/>
          <w:color w:val="222222"/>
          <w:sz w:val="16"/>
        </w:rPr>
        <w:t>• 1. Incremento integrado en la rama principal ('main') libre de conflictos y con compilación limpia.</w:t>
      </w:r>
    </w:p>
    <w:p>
      <w:pPr>
        <w:spacing w:before="0" w:after="20" w:line="252" w:lineRule="auto"/>
        <w:ind w:left="288"/>
      </w:pPr>
      <w:r>
        <w:rPr>
          <w:rFonts w:ascii="Calibri" w:hAnsi="Calibri"/>
          <w:color w:val="222222"/>
          <w:sz w:val="16"/>
        </w:rPr>
        <w:t>• 2. Entró por Pull Request formal aprobado por un par técnico con rol distinto de quien lo construyó.</w:t>
      </w:r>
    </w:p>
    <w:p>
      <w:pPr>
        <w:spacing w:before="0" w:after="20" w:line="252" w:lineRule="auto"/>
        <w:ind w:left="288"/>
      </w:pPr>
      <w:r>
        <w:rPr>
          <w:rFonts w:ascii="Calibri" w:hAnsi="Calibri"/>
          <w:color w:val="222222"/>
          <w:sz w:val="16"/>
        </w:rPr>
        <w:t>• 3. La aprobación en GitHub nombra explícitamente qué criterio de aceptación (CA-XX.Y) fue verificado.</w:t>
      </w:r>
    </w:p>
    <w:p>
      <w:pPr>
        <w:spacing w:before="0" w:after="20" w:line="252" w:lineRule="auto"/>
        <w:ind w:left="288"/>
      </w:pPr>
      <w:r>
        <w:rPr>
          <w:rFonts w:ascii="Calibri" w:hAnsi="Calibri"/>
          <w:color w:val="222222"/>
          <w:sz w:val="16"/>
        </w:rPr>
        <w:t>• 4. La tarjeta correspondiente se encuentra visible en la columna «Terminado» del tablero de GitHub Projects.</w:t>
      </w:r>
    </w:p>
    <w:p>
      <w:pPr>
        <w:spacing w:before="40" w:after="40"/>
      </w:pP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2074"/>
        <w:gridCol w:w="2074"/>
        <w:gridCol w:w="2074"/>
        <w:gridCol w:w="2074"/>
        <w:gridCol w:w="2074"/>
      </w:tblGrid>
      <w:tr>
        <w:tc>
          <w:tcPr>
            <w:tcW w:type="dxa" w:w="1080"/>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ID</w:t>
            </w:r>
          </w:p>
        </w:tc>
        <w:tc>
          <w:tcPr>
            <w:tcW w:type="dxa" w:w="3888"/>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Comportamiento del Núcleo</w:t>
            </w:r>
          </w:p>
        </w:tc>
        <w:tc>
          <w:tcPr>
            <w:tcW w:type="dxa" w:w="1800"/>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Estado 3B</w:t>
            </w:r>
          </w:p>
        </w:tc>
        <w:tc>
          <w:tcPr>
            <w:tcW w:type="dxa" w:w="1584"/>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Criterios Verificados</w:t>
            </w:r>
          </w:p>
        </w:tc>
        <w:tc>
          <w:tcPr>
            <w:tcW w:type="dxa" w:w="2016"/>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Evidencia de Integración en Repositorio</w:t>
            </w:r>
          </w:p>
        </w:tc>
      </w:tr>
      <w:tr>
        <w:tc>
          <w:tcPr>
            <w:tcW w:type="dxa" w:w="108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CMP-01</w:t>
            </w:r>
          </w:p>
        </w:tc>
        <w:tc>
          <w:tcPr>
            <w:tcW w:type="dxa" w:w="3888"/>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Registrar una donación con datos mínimos, frío, exención legal (Ley 1990) y soporte Offline.</w:t>
            </w:r>
          </w:p>
        </w:tc>
        <w:tc>
          <w:tcPr>
            <w:tcW w:type="dxa" w:w="180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TERMINADO (100%)</w:t>
            </w:r>
          </w:p>
        </w:tc>
        <w:tc>
          <w:tcPr>
            <w:tcW w:type="dxa" w:w="1584"/>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CA-01.1 a CA-01.5</w:t>
            </w:r>
          </w:p>
        </w:tc>
        <w:tc>
          <w:tcPr>
            <w:tcW w:type="dxa" w:w="2016"/>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Integrado en main (Merges b95a51c, 5217039, 67b47b6, ca1d328)</w:t>
            </w:r>
          </w:p>
        </w:tc>
      </w:tr>
      <w:tr>
        <w:tc>
          <w:tcPr>
            <w:tcW w:type="dxa" w:w="1080"/>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CMP-02</w:t>
            </w:r>
          </w:p>
        </w:tc>
        <w:tc>
          <w:tcPr>
            <w:tcW w:type="dxa" w:w="3888"/>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Hacerla visible para quien debe tomarla: catálogo reactivo, filtros de zona Cali y mapa OSM.</w:t>
            </w:r>
          </w:p>
        </w:tc>
        <w:tc>
          <w:tcPr>
            <w:tcW w:type="dxa" w:w="1800"/>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TERMINADO (100%)</w:t>
            </w:r>
          </w:p>
        </w:tc>
        <w:tc>
          <w:tcPr>
            <w:tcW w:type="dxa" w:w="1584"/>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CA-02.1 a CA-02.4</w:t>
            </w:r>
          </w:p>
        </w:tc>
        <w:tc>
          <w:tcPr>
            <w:tcW w:type="dxa" w:w="2016"/>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Integrado en main (PRs #25, #26, #28 y TASK-19 commit 23d77d1)</w:t>
            </w:r>
          </w:p>
        </w:tc>
      </w:tr>
      <w:tr>
        <w:tc>
          <w:tcPr>
            <w:tcW w:type="dxa" w:w="108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CMP-03</w:t>
            </w:r>
          </w:p>
        </w:tc>
        <w:tc>
          <w:tcPr>
            <w:tcW w:type="dxa" w:w="3888"/>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Permitir que un voluntario la tome, con bloqueo de segunda toma (HTTP 409) — CORAZÓN DEL MVP.</w:t>
            </w:r>
          </w:p>
        </w:tc>
        <w:tc>
          <w:tcPr>
            <w:tcW w:type="dxa" w:w="180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TERMINADO (100%)</w:t>
            </w:r>
          </w:p>
        </w:tc>
        <w:tc>
          <w:tcPr>
            <w:tcW w:type="dxa" w:w="1584"/>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CA-03.1 a CA-03.3</w:t>
            </w:r>
          </w:p>
        </w:tc>
        <w:tc>
          <w:tcPr>
            <w:tcW w:type="dxa" w:w="2016"/>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Integrado en main (PRs #24, #25, #27, #28; RPC endurecida)</w:t>
            </w:r>
          </w:p>
        </w:tc>
      </w:tr>
      <w:tr>
        <w:tc>
          <w:tcPr>
            <w:tcW w:type="dxa" w:w="1080"/>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CMP-04</w:t>
            </w:r>
          </w:p>
        </w:tc>
        <w:tc>
          <w:tcPr>
            <w:tcW w:type="dxa" w:w="3888"/>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Registrar la entrega física a la organización receptora con fecha, hora, acta digital y Habeas Data.</w:t>
            </w:r>
          </w:p>
        </w:tc>
        <w:tc>
          <w:tcPr>
            <w:tcW w:type="dxa" w:w="1800"/>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TERMINADO (100%)</w:t>
            </w:r>
          </w:p>
        </w:tc>
        <w:tc>
          <w:tcPr>
            <w:tcW w:type="dxa" w:w="1584"/>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CA-04.1 a CA-04.3</w:t>
            </w:r>
          </w:p>
        </w:tc>
        <w:tc>
          <w:tcPr>
            <w:tcW w:type="dxa" w:w="2016"/>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Integrado en main (PR #25 y tests de privacidad Ley 1581)</w:t>
            </w:r>
          </w:p>
        </w:tc>
      </w:tr>
      <w:tr>
        <w:tc>
          <w:tcPr>
            <w:tcW w:type="dxa" w:w="108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CMP-05</w:t>
            </w:r>
          </w:p>
        </w:tc>
        <w:tc>
          <w:tcPr>
            <w:tcW w:type="dxa" w:w="3888"/>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Consultar el estado y trazabilidad en cualquier momento y métricas de impacto real (cero inventados).</w:t>
            </w:r>
          </w:p>
        </w:tc>
        <w:tc>
          <w:tcPr>
            <w:tcW w:type="dxa" w:w="180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POR HACER (Sprint 3)</w:t>
            </w:r>
          </w:p>
        </w:tc>
        <w:tc>
          <w:tcPr>
            <w:tcW w:type="dxa" w:w="1584"/>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CA-05.1 a CA-05.3</w:t>
            </w:r>
          </w:p>
        </w:tc>
        <w:tc>
          <w:tcPr>
            <w:tcW w:type="dxa" w:w="2016"/>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Planificado para Entrega 3C (Infraestructura de base ya construida)</w:t>
            </w:r>
          </w:p>
        </w:tc>
      </w:tr>
    </w:tbl>
    <w:p>
      <w:pPr>
        <w:spacing w:after="80"/>
      </w:pPr>
    </w:p>
    <w:p>
      <w:r>
        <w:br w:type="page"/>
      </w:r>
    </w:p>
    <w:p>
      <w:pPr>
        <w:spacing w:before="0" w:after="40"/>
      </w:pPr>
      <w:r>
        <w:rPr>
          <w:rFonts w:ascii="Calibri" w:hAnsi="Calibri"/>
          <w:b/>
          <w:color w:val="1B365D"/>
          <w:sz w:val="22"/>
        </w:rPr>
        <w:t>3. Detalle de Comportamientos Terminados, Rutas de Ejecución y Trazabilidad de Pull Requests</w:t>
      </w:r>
    </w:p>
    <w:p>
      <w:pPr>
        <w:spacing w:before="0" w:after="80" w:line="259" w:lineRule="auto"/>
      </w:pPr>
      <w:r>
        <w:rPr>
          <w:rFonts w:ascii="Calibri" w:hAnsi="Calibri"/>
          <w:color w:val="222222"/>
          <w:sz w:val="16"/>
        </w:rPr>
        <w:t>A continuación se presenta el inventario exhaustivo de cada comportamiento terminado, detallando exactamente en qué ruta web se visualiza, qué módulos de código lo respaldan, qué criterios de aceptación cubre (incluyendo casos de rechazo) y el enlace activo al Pull Request revisado y aprobado por un par técnico que lo integró en la rama principal:</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2592"/>
        <w:gridCol w:w="2592"/>
        <w:gridCol w:w="2592"/>
        <w:gridCol w:w="2592"/>
      </w:tblGrid>
      <w:tr>
        <w:tc>
          <w:tcPr>
            <w:tcW w:type="dxa" w:w="1872"/>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ID / Comportamiento</w:t>
            </w:r>
          </w:p>
        </w:tc>
        <w:tc>
          <w:tcPr>
            <w:tcW w:type="dxa" w:w="2304"/>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Dónde Verlo / Módulos Clave</w:t>
            </w:r>
          </w:p>
        </w:tc>
        <w:tc>
          <w:tcPr>
            <w:tcW w:type="dxa" w:w="3312"/>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Criterios Cubiertos (Gherkin)</w:t>
            </w:r>
          </w:p>
        </w:tc>
        <w:tc>
          <w:tcPr>
            <w:tcW w:type="dxa" w:w="2880"/>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Pull Request de Integración y Pruebas</w:t>
            </w:r>
          </w:p>
        </w:tc>
      </w:tr>
      <w:tr>
        <w:tc>
          <w:tcPr>
            <w:tcW w:type="dxa" w:w="1872"/>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CMP-01</w:t>
              <w:br/>
              <w:t>Un comercio publica donación</w:t>
            </w:r>
          </w:p>
        </w:tc>
        <w:tc>
          <w:tcPr>
            <w:tcW w:type="dxa" w:w="2304"/>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Ruta: /donar (Wizard móvil)</w:t>
              <w:br/>
              <w:t>y / (Consola SCADA)</w:t>
              <w:br/>
              <w:br/>
              <w:t>Módulos:</w:t>
              <w:br/>
              <w:t>• DonacionWizard.tsx</w:t>
              <w:br/>
              <w:t>• donaciones.ts</w:t>
              <w:br/>
              <w:t>• db.ts (Dexie.js)</w:t>
              <w:br/>
              <w:t>• donacion.ts (Zod)</w:t>
            </w:r>
          </w:p>
        </w:tc>
        <w:tc>
          <w:tcPr>
            <w:tcW w:type="dxa" w:w="3312"/>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 CA-01.1: Publicación con código único DON-XXX.</w:t>
              <w:br/>
              <w:t>• CA-01.2: Rechazo por hora vencida o igual a actual.</w:t>
              <w:br/>
              <w:t>• CA-01.3: Bloqueo por omisión de Ley 1990/2019.</w:t>
              <w:br/>
              <w:t>• CA-01.4: Marcado de cadena de frío (requiereFrio).</w:t>
              <w:br/>
              <w:t>• CA-01.5: Captura Offline en plaza + sincronización auto.</w:t>
            </w:r>
          </w:p>
        </w:tc>
        <w:tc>
          <w:tcPr>
            <w:tcW w:type="dxa" w:w="288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PR Integración Inicial (#b95a51c / #5217039 / #67b47b6 / #ca1d328)</w:t>
              <w:br/>
              <w:br/>
              <w:t>• Autor: Alejandro Rodríguez / Santiago Valencia</w:t>
              <w:br/>
              <w:t>• Revisor / Aprobador: Felipe Charria (QA) y Eduard Criollo (PO)</w:t>
              <w:br/>
              <w:t>• Aprobación: Valida CA-01.1 a CA-01.5 y tests BDD en verde.</w:t>
              <w:br/>
              <w:t>• Pruebas: tests/cmp-01-donaciones.test.ts</w:t>
            </w:r>
          </w:p>
        </w:tc>
      </w:tr>
      <w:tr>
        <w:tc>
          <w:tcPr>
            <w:tcW w:type="dxa" w:w="1872"/>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CMP-02</w:t>
              <w:br/>
              <w:t>Catálogo y filtros de donaciones</w:t>
            </w:r>
          </w:p>
        </w:tc>
        <w:tc>
          <w:tcPr>
            <w:tcW w:type="dxa" w:w="2304"/>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Ruta: /donaciones</w:t>
              <w:br/>
              <w:br/>
              <w:t>Módulos:</w:t>
              <w:br/>
              <w:t>• donaciones/page.tsx</w:t>
              <w:br/>
              <w:t>• DonacionCard.tsx</w:t>
              <w:br/>
              <w:t>• ZonasFilter.tsx</w:t>
              <w:br/>
              <w:t>• ColdChainBadge.tsx</w:t>
              <w:br/>
              <w:t>• RadarMap.tsx (Leaflet)</w:t>
              <w:br/>
              <w:t>• useCountdown.ts</w:t>
            </w:r>
          </w:p>
        </w:tc>
        <w:tc>
          <w:tcPr>
            <w:tcW w:type="dxa" w:w="3312"/>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 CA-02.1: Catálogo reactivo de ofertas vigentes.</w:t>
              <w:br/>
              <w:t>• CA-02.2: Badge de frío y filtro de exclusión.</w:t>
              <w:br/>
              <w:t>• CA-02.3: Filtros por 5 zonas Cali y mapa OpenStreetMap.</w:t>
              <w:br/>
              <w:t>• CA-02.4: Ocultamiento automático por temporizador regresivo antes de expirar.</w:t>
            </w:r>
          </w:p>
        </w:tc>
        <w:tc>
          <w:tcPr>
            <w:tcW w:type="dxa" w:w="2880"/>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PR #25, PR #26, PR #28 y Commit 23d77d1 (TASK-19)</w:t>
              <w:br/>
              <w:br/>
              <w:t>• Autor: Alejandro Rodríguez / Santiago Valencia</w:t>
              <w:br/>
              <w:t>• Revisor / Aprobador: Juan Camilo Peña / Eduard Criollo</w:t>
              <w:br/>
              <w:t>• Aprobación: Verifica filtrado &lt;100ms, mapa OSM y DoD.</w:t>
              <w:br/>
              <w:t>• Pruebas: tests/unit/cmp-02-catalogo.test.ts</w:t>
            </w:r>
          </w:p>
        </w:tc>
      </w:tr>
      <w:tr>
        <w:tc>
          <w:tcPr>
            <w:tcW w:type="dxa" w:w="1872"/>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CMP-03</w:t>
              <w:br/>
              <w:t>Toma con bloqueo segunda toma</w:t>
              <w:br/>
              <w:t>(EL CORAZÓN)</w:t>
            </w:r>
          </w:p>
        </w:tc>
        <w:tc>
          <w:tcPr>
            <w:tcW w:type="dxa" w:w="2304"/>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Rutas: /donaciones (2 sesiones)</w:t>
              <w:br/>
              <w:t>y /ruta-activa</w:t>
              <w:br/>
              <w:br/>
              <w:t>Módulos:</w:t>
              <w:br/>
              <w:t>• tomar_donacion RPC</w:t>
              <w:br/>
              <w:t>• ConflictoTomaModal.tsx</w:t>
              <w:br/>
              <w:t>• RutaActivaCard.tsx</w:t>
              <w:br/>
              <w:t>• donaciones.ts (Server Action)</w:t>
            </w:r>
          </w:p>
        </w:tc>
        <w:tc>
          <w:tcPr>
            <w:tcW w:type="dxa" w:w="3312"/>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 CA-03.1: Asignación atómica (HTTP 200) al primer voluntario y despliegue de ruta activa con teléfono.</w:t>
              <w:br/>
              <w:t>• CA-03.2: Bloqueo atómico al segundo voluntario (HTTP 409 Conflict), modal reactivo y remoción sin recargar.</w:t>
              <w:br/>
              <w:t>• CA-03.3: Bloqueo sobre ofertas expiradas (HTTP 410).</w:t>
            </w:r>
          </w:p>
        </w:tc>
        <w:tc>
          <w:tcPr>
            <w:tcW w:type="dxa" w:w="288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PR #24 (RPC), PR #25, PR #27 (QA Concurrencia), PR #28</w:t>
              <w:br/>
              <w:br/>
              <w:t>• Autor: Juan Sebastián Delgado / Alejandro Rodríguez</w:t>
              <w:br/>
              <w:t>• Revisor / Aprobador: Juan Camilo Peña / Eduard Criollo</w:t>
              <w:br/>
              <w:t>• Aprobación: Certifica cerrojo FOR UPDATE y 409.</w:t>
              <w:br/>
              <w:t>• Pruebas: tests/integration/concurrency-lock.test.ts</w:t>
            </w:r>
          </w:p>
        </w:tc>
      </w:tr>
      <w:tr>
        <w:tc>
          <w:tcPr>
            <w:tcW w:type="dxa" w:w="1872"/>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CMP-04</w:t>
              <w:br/>
              <w:t>Registro y confirmación entrega</w:t>
            </w:r>
          </w:p>
        </w:tc>
        <w:tc>
          <w:tcPr>
            <w:tcW w:type="dxa" w:w="2304"/>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Ruta: /entregas/[id]</w:t>
              <w:br/>
              <w:br/>
              <w:t>Módulos:</w:t>
              <w:br/>
              <w:t>• entregas/[id]/page.tsx</w:t>
              <w:br/>
              <w:t>• entregas.ts</w:t>
              <w:br/>
              <w:t>• entrega.ts (Zod)</w:t>
              <w:br/>
              <w:t>• habeas-data.test.ts</w:t>
            </w:r>
          </w:p>
        </w:tc>
        <w:tc>
          <w:tcPr>
            <w:tcW w:type="dxa" w:w="3312"/>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 CA-04.1: Cierre formal de entrega en comedor con firma de receptor, fecha UTC y transición a ENTREGADA.</w:t>
              <w:br/>
              <w:t>• CA-04.2: Bloqueo si donación sigue en DISPONIBLE.</w:t>
              <w:br/>
              <w:t>• CA-04.3: Cumplimiento Ley 1581 (Habeas Data): cero nombres, cédulas ni fotos de comensales.</w:t>
            </w:r>
          </w:p>
        </w:tc>
        <w:tc>
          <w:tcPr>
            <w:tcW w:type="dxa" w:w="2880"/>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PR #25 (Catálogo reactivo y confirmación de entrega)</w:t>
              <w:br/>
              <w:br/>
              <w:t>• Autor: Alejandro Rodríguez / Felipe Charria (QA)</w:t>
              <w:br/>
              <w:t>• Revisor / Aprobador: Juan Camilo Peña / Eduard Criollo</w:t>
              <w:br/>
              <w:t>• Aprobación: Certifica cierre de custodia y no captura sensible.</w:t>
              <w:br/>
              <w:t>• Pruebas: tests/unit/cmp-04-confirmacion-entrega.test.ts</w:t>
            </w:r>
          </w:p>
        </w:tc>
      </w:tr>
    </w:tbl>
    <w:p>
      <w:pPr>
        <w:spacing w:after="80"/>
      </w:pPr>
    </w:p>
    <w:tbl>
      <w:tblPr>
        <w:tblW w:type="auto" w:w="0"/>
        <w:jc w:val="center"/>
        <w:tblLook w:firstColumn="1" w:firstRow="1" w:lastColumn="0" w:lastRow="0" w:noHBand="0" w:noVBand="1" w:val="04A0"/>
      </w:tblPr>
      <w:tblGrid>
        <w:gridCol w:w="10368"/>
      </w:tblGrid>
      <w:tr>
        <w:tc>
          <w:tcPr>
            <w:tcW w:type="dxa" w:w="10368"/>
            <w:shd w:fill="FDF7F7"/>
            <w:tcMar>
              <w:top w:w="90" w:type="dxa"/>
              <w:bottom w:w="90" w:type="dxa"/>
              <w:left w:w="130" w:type="dxa"/>
              <w:right w:w="130" w:type="dxa"/>
            </w:tcMar>
            <w:tcBorders>
              <w:left w:val="single" w:sz="20" w:space="0" w:color="B60205"/>
              <w:top w:val="none"/>
              <w:right w:val="none"/>
              <w:bottom w:val="none"/>
            </w:tcBorders>
          </w:tcPr>
          <w:p>
            <w:pPr>
              <w:spacing w:before="0" w:after="0" w:line="264" w:lineRule="auto"/>
            </w:pPr>
            <w:r>
              <w:rPr>
                <w:rFonts w:ascii="Calibri" w:hAnsi="Calibri"/>
                <w:b/>
                <w:color w:val="1B365D"/>
                <w:sz w:val="18"/>
              </w:rPr>
              <w:t>EL CORAZÓN DEL MVP: EXCLUSIÓN MUTUA TRANSACCIONAL Y RESPUESTA HTTP 409 (CMP-03)</w:t>
              <w:br/>
            </w:r>
            <w:r>
              <w:rPr>
                <w:rFonts w:ascii="Calibri" w:hAnsi="Calibri"/>
                <w:color w:val="282828"/>
                <w:sz w:val="17"/>
              </w:rPr>
              <w:t>Fundamentación de la Solución Concurrente (ADR-001): En arquitectura serverless (Vercel Edge), dos peticiones paralelas no comparten memoria RAM. Para erradicar matemáticamente la doble asignación de alimentos que colapsaba el WhatsApp de la Fundación Mesa Común, la reserva no se hace con un simple UPDATE en cliente: invoca la función RPC endurecida 'tomar_donacion' en PostgreSQL (Supabase) con bloqueo pesimista 'SELECT ... FOR UPDATE' bajo aislamiento transaccional. La primera petición adquiere el cerrojo de fila y cambia el estado a ASIGNADA (200 OK); cualquier petición concurrente milisegundos después detecta que el estado ya no es DISPONIBLE y es rechazada con HTTP 409 Conflict. La interfaz del voluntario rezagado captura el 409 y despliega el modal amigable 'ConflictoTomaModal' removiendo la oferta reactivamente.</w:t>
            </w:r>
          </w:p>
        </w:tc>
      </w:tr>
    </w:tbl>
    <w:p>
      <w:pPr>
        <w:spacing w:before="0" w:after="0"/>
      </w:pPr>
    </w:p>
    <w:p>
      <w:r>
        <w:br w:type="page"/>
      </w:r>
    </w:p>
    <w:p>
      <w:pPr>
        <w:spacing w:before="0" w:after="40"/>
      </w:pPr>
      <w:r>
        <w:rPr>
          <w:rFonts w:ascii="Calibri" w:hAnsi="Calibri"/>
          <w:b/>
          <w:color w:val="1B365D"/>
          <w:sz w:val="22"/>
        </w:rPr>
        <w:t>4. Qué Quedó Sin Terminar y Por Qué (CMP-05) — Análisis Retrospectivo de Causas</w:t>
      </w:r>
    </w:p>
    <w:p>
      <w:pPr>
        <w:spacing w:before="0" w:after="60" w:line="259" w:lineRule="auto"/>
      </w:pPr>
      <w:r>
        <w:rPr>
          <w:rFonts w:ascii="Calibri" w:hAnsi="Calibri"/>
          <w:color w:val="222222"/>
          <w:sz w:val="16"/>
        </w:rPr>
        <w:t>En conformidad con la guía («Esta parte cuenta: un equipo que sabe exactamente dónde se trabó está en mejor posición que uno que no»), el único comportamiento del núcleo que no se entrega terminado en la 3B es el Comportamiento 5: «Consultar el estado de una donación en cualquier momento». Las tareas asociadas (TASK-13: Pantalla de consulta pública por código DON-XXX y TASK-14: Agregador de métricas de impacto) permanecen formalmente en la columna «Por hacer» para el Sprint 3 (Entrega 3C). Las causas técnicas y estratégicas se detallan a continuación:</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5184"/>
        <w:gridCol w:w="5184"/>
      </w:tblGrid>
      <w:tr>
        <w:tc>
          <w:tcPr>
            <w:tcW w:type="dxa" w:w="3600"/>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Causa Técnica / Retrospectiva de Sprints</w:t>
            </w:r>
          </w:p>
        </w:tc>
        <w:tc>
          <w:tcPr>
            <w:tcW w:type="dxa" w:w="6768"/>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Impacto Operativo y Estado Actual de Mitigación</w:t>
            </w:r>
          </w:p>
        </w:tc>
      </w:tr>
      <w:tr>
        <w:tc>
          <w:tcPr>
            <w:tcW w:type="dxa" w:w="360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1. Priorización del Ciclo Transaccional Completo y la Exclusión Mutua (CMP-01 a CMP-04):</w:t>
            </w:r>
          </w:p>
        </w:tc>
        <w:tc>
          <w:tcPr>
            <w:tcW w:type="dxa" w:w="6768"/>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La entrega 3B exigía como compuerta ineludible demostrar el bloqueo de segunda toma (CMP-03) con dos sesiones simultáneas. El equipo decidió conscientemente enfocar el esfuerzo de ingeniería en cerrar sin fisuras el ciclo operativo de custodia (publicación en plaza -&gt; catálogo geográfico -&gt; toma atómica concurrente -&gt; acta física en comedor), en lugar de construir consultas visuales superficiales dejando flujos transaccionales incompletos.</w:t>
            </w:r>
          </w:p>
        </w:tc>
      </w:tr>
      <w:tr>
        <w:tc>
          <w:tcPr>
            <w:tcW w:type="dxa" w:w="3600"/>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2. Fricciones Técnicas Reales Resueltas durante la Integración (Lecciones de Ingeniería):</w:t>
            </w:r>
          </w:p>
        </w:tc>
        <w:tc>
          <w:tcPr>
            <w:tcW w:type="dxa" w:w="6768"/>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Durante la construcción se resolvieron 3 obstáculos críticos documentados en Git: (a) Unificación responsive entre la consola retro SCADA de escritorio y el Wizard móvil táctil de 3 pasos (commit fc0d768); (b) Normalización de codificación UTF-8 sin BOM en Windows para evitar fallos de compilación en el CI de GitHub Actions (commit d0fec15); y (c) Endurecimiento de la función RPC tomar_donacion con SECURITY DEFINER (PR #24) para operar bajo RLS en Supabase.</w:t>
            </w:r>
          </w:p>
        </w:tc>
      </w:tr>
      <w:tr>
        <w:tc>
          <w:tcPr>
            <w:tcW w:type="dxa" w:w="360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3. Base Arquitectónica de CMP-05 ya Construida y Blindada contra Regresiones:</w:t>
            </w:r>
          </w:p>
        </w:tc>
        <w:tc>
          <w:tcPr>
            <w:tcW w:type="dxa" w:w="6768"/>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CMP-05 no parte de cero. La tabla inmutable 'trazabilidad_eventos' ya almacena automáticamente cada transición con marcas UTC en CMP-03 y CMP-04, y el módulo de agregación de métricas de impacto ('src/lib/metrics.ts') cuenta con una suite unitaria automatizada ('tests/unit/metrics.test.ts') que certifica la prueba de gobierno de cero datos inventados. En el Sprint 3 solo resta montar la interfaz pública de rastreo y el panel consolidado.</w:t>
            </w:r>
          </w:p>
        </w:tc>
      </w:tr>
    </w:tbl>
    <w:p>
      <w:pPr>
        <w:spacing w:after="80"/>
      </w:pPr>
    </w:p>
    <w:p>
      <w:pPr>
        <w:spacing w:before="80" w:after="40"/>
      </w:pPr>
      <w:r>
        <w:rPr>
          <w:rFonts w:ascii="Calibri" w:hAnsi="Calibri"/>
          <w:b/>
          <w:color w:val="1B365D"/>
          <w:sz w:val="21"/>
        </w:rPr>
        <w:t>5. Registro de Cambios en Criterios de Aceptación durante la Construcción (Rúbrica Nivel 5)</w:t>
      </w:r>
    </w:p>
    <w:p>
      <w:pPr>
        <w:spacing w:before="0" w:after="60" w:line="259" w:lineRule="auto"/>
      </w:pPr>
      <w:r>
        <w:rPr>
          <w:rFonts w:ascii="Calibri" w:hAnsi="Calibri"/>
          <w:color w:val="222222"/>
          <w:sz w:val="16"/>
        </w:rPr>
        <w:t>Para satisfacer el Nivel 5 del Criterio 2 («cuando la construcción obligó a cambiar un criterio, el cambio se hizo primero en la especificación y queda registrado con su razón; los identificadores son estables»), se documentan las dos adaptaciones efectuadas sobre los criterios de la 3A:</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3456"/>
        <w:gridCol w:w="3456"/>
        <w:gridCol w:w="3456"/>
      </w:tblGrid>
      <w:tr>
        <w:tc>
          <w:tcPr>
            <w:tcW w:type="dxa" w:w="2880"/>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Criterio / Módulo Modificado</w:t>
            </w:r>
          </w:p>
        </w:tc>
        <w:tc>
          <w:tcPr>
            <w:tcW w:type="dxa" w:w="5472"/>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Descripción del Refinamiento y Justificación Técnica</w:t>
            </w:r>
          </w:p>
        </w:tc>
        <w:tc>
          <w:tcPr>
            <w:tcW w:type="dxa" w:w="2016"/>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Trazabilidad Documental Previa</w:t>
            </w:r>
          </w:p>
        </w:tc>
      </w:tr>
      <w:tr>
        <w:tc>
          <w:tcPr>
            <w:tcW w:type="dxa" w:w="288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CMP-03: Desacople de Códigos HTTP y Enmienda RPC (CA-03.2 y CA-03.3)</w:t>
            </w:r>
          </w:p>
        </w:tc>
        <w:tc>
          <w:tcPr>
            <w:tcW w:type="dxa" w:w="5472"/>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En la 3A se planteó un error genérico ante fallos de toma. Durante la construcción de TASK-08 (PR #24) y la redacción del ADR-001, se enmendó la especificación técnica en docs/spec/comportamientos.md para desacoplar dos respuestas: HTTP 409 Conflict (exclusivo para colisiones de segunda toma concurrente con modal empático, CA-03.2) y HTTP 410 Gone (para ofertas expiradas o canceladas, CA-03.3), evaluando el estado antes que la hora límite.</w:t>
            </w:r>
          </w:p>
        </w:tc>
        <w:tc>
          <w:tcPr>
            <w:tcW w:type="dxa" w:w="2016"/>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ADR-001 y docs/spec/comportamientos.md actualizados primero (PR #24 y #27).</w:t>
            </w:r>
          </w:p>
        </w:tc>
      </w:tr>
      <w:tr>
        <w:tc>
          <w:tcPr>
            <w:tcW w:type="dxa" w:w="2880"/>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CMP-02: Incorporación de Cartografía OpenStreetMap y Escalabilidad (CA-02.1 y CA-02.3)</w:t>
            </w:r>
          </w:p>
        </w:tc>
        <w:tc>
          <w:tcPr>
            <w:tcW w:type="dxa" w:w="5472"/>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La especificación 3A consideraba listado textual por sectores. Atendiendo a la retroalimentación de ergonomía táctil (TASK-19 / commit 23d77d1), se integró el mapa interactivo OpenStreetMap con Leaflet (RadarMap.tsx) centrado en las 5 zonas de Cali y con capacidad de escalar al corredor agropecuario regional (Cavasa), garantizando $0 USD/mes de costo de infraestructura sin API keys de Google Maps.</w:t>
            </w:r>
          </w:p>
        </w:tc>
        <w:tc>
          <w:tcPr>
            <w:tcW w:type="dxa" w:w="2016"/>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docs/spec/comportamientos.md y plan-tecnico.md actualizados (TASK-19).</w:t>
            </w:r>
          </w:p>
        </w:tc>
      </w:tr>
    </w:tbl>
    <w:p>
      <w:pPr>
        <w:spacing w:after="80"/>
      </w:pPr>
    </w:p>
    <w:p>
      <w:r>
        <w:br w:type="page"/>
      </w:r>
    </w:p>
    <w:p>
      <w:pPr>
        <w:spacing w:before="0" w:after="40"/>
      </w:pPr>
      <w:r>
        <w:rPr>
          <w:rFonts w:ascii="Calibri" w:hAnsi="Calibri"/>
          <w:b/>
          <w:color w:val="1B365D"/>
          <w:sz w:val="22"/>
        </w:rPr>
        <w:t>6. Matriz de Contribución Individual Visible y Artefactos Entregables por Rol Declarado</w:t>
      </w:r>
    </w:p>
    <w:p>
      <w:pPr>
        <w:spacing w:before="0" w:after="60" w:line="259" w:lineRule="auto"/>
      </w:pPr>
      <w:r>
        <w:rPr>
          <w:rFonts w:ascii="Calibri" w:hAnsi="Calibri"/>
          <w:color w:val="222222"/>
          <w:sz w:val="16"/>
        </w:rPr>
        <w:t>En estricto cumplimiento del Criterio 4 (Nivel 5 de la rúbrica: «la participación está repartida: ningún integrante concentra el trabajo y ninguno queda sin aparecer; cada rol declarado en la constitución dejó un artefacto propio y verificable»), la siguiente matriz detalla la autoría de tareas, revisiones de Pull Requests y artefactos tangibles generados por cada uno de los 6 integrantes:</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2074"/>
        <w:gridCol w:w="2074"/>
        <w:gridCol w:w="2074"/>
        <w:gridCol w:w="2074"/>
        <w:gridCol w:w="2074"/>
      </w:tblGrid>
      <w:tr>
        <w:tc>
          <w:tcPr>
            <w:tcW w:type="dxa" w:w="1872"/>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Integrante y Rol Declarado</w:t>
            </w:r>
          </w:p>
        </w:tc>
        <w:tc>
          <w:tcPr>
            <w:tcW w:type="dxa" w:w="1440"/>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Tareas Tablero</w:t>
            </w:r>
          </w:p>
        </w:tc>
        <w:tc>
          <w:tcPr>
            <w:tcW w:type="dxa" w:w="1728"/>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Commits / PRs Autor</w:t>
            </w:r>
          </w:p>
        </w:tc>
        <w:tc>
          <w:tcPr>
            <w:tcW w:type="dxa" w:w="2016"/>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Revisiones y Aprobaciones</w:t>
            </w:r>
          </w:p>
        </w:tc>
        <w:tc>
          <w:tcPr>
            <w:tcW w:type="dxa" w:w="3312"/>
            <w:shd w:fill="1B365D"/>
            <w:tcMar>
              <w:top w:w="70" w:type="dxa"/>
              <w:bottom w:w="70" w:type="dxa"/>
              <w:left w:w="100" w:type="dxa"/>
              <w:right w:w="100" w:type="dxa"/>
            </w:tcMar>
            <w:vAlign w:val="center"/>
          </w:tcPr>
          <w:p>
            <w:pPr>
              <w:spacing w:before="0" w:after="0" w:line="259" w:lineRule="auto"/>
              <w:jc w:val="left"/>
            </w:pPr>
            <w:r>
              <w:rPr>
                <w:rFonts w:ascii="Calibri" w:hAnsi="Calibri"/>
                <w:b/>
                <w:color w:val="FFFFFF"/>
                <w:sz w:val="17"/>
              </w:rPr>
              <w:t>Artefacto Propio y Verificable</w:t>
            </w:r>
          </w:p>
        </w:tc>
      </w:tr>
      <w:tr>
        <w:tc>
          <w:tcPr>
            <w:tcW w:type="dxa" w:w="1872"/>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Eduard Criollo Yule</w:t>
              <w:br/>
              <w:t>(Product Owner / Lead)</w:t>
            </w:r>
          </w:p>
        </w:tc>
        <w:tc>
          <w:tcPr>
            <w:tcW w:type="dxa" w:w="144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TASK-18 (Ruta Activa)</w:t>
              <w:br/>
              <w:t>TASK-14 (Gobernanza)</w:t>
              <w:br/>
              <w:t>Backlog GitHub</w:t>
            </w:r>
          </w:p>
        </w:tc>
        <w:tc>
          <w:tcPr>
            <w:tcW w:type="dxa" w:w="1728"/>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PR #28 (Ruta activa)</w:t>
              <w:br/>
              <w:t>Merges de integración</w:t>
              <w:br/>
              <w:t>Commits 23d77d1, 656d4c5</w:t>
            </w:r>
          </w:p>
        </w:tc>
        <w:tc>
          <w:tcPr>
            <w:tcW w:type="dxa" w:w="2016"/>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Aprobó PR #24, PR #25, PR #26, PR #27, PR #28; auditó DoD y criterios.</w:t>
            </w:r>
          </w:p>
        </w:tc>
        <w:tc>
          <w:tcPr>
            <w:tcW w:type="dxa" w:w="3312"/>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Componente RutaActivaCard.tsx, vista /ruta-activa, tablero sincronizado y verificación de gobierno de cero datos inventados.</w:t>
            </w:r>
          </w:p>
        </w:tc>
      </w:tr>
      <w:tr>
        <w:tc>
          <w:tcPr>
            <w:tcW w:type="dxa" w:w="1872"/>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Alejandro Rodríguez</w:t>
              <w:br/>
              <w:t>(Full-Stack Developer)</w:t>
            </w:r>
          </w:p>
        </w:tc>
        <w:tc>
          <w:tcPr>
            <w:tcW w:type="dxa" w:w="1440"/>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TASK-03, TASK-04,</w:t>
              <w:br/>
              <w:t>TASK-06, TASK-09,</w:t>
              <w:br/>
              <w:t>TASK-11, TASK-19</w:t>
            </w:r>
          </w:p>
        </w:tc>
        <w:tc>
          <w:tcPr>
            <w:tcW w:type="dxa" w:w="1728"/>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PR #25 (Catálogo/Entrega)</w:t>
              <w:br/>
              <w:t>PRs de CMP-01</w:t>
              <w:br/>
              <w:t>Commits 0a30e04, 0809912</w:t>
            </w:r>
          </w:p>
        </w:tc>
        <w:tc>
          <w:tcPr>
            <w:tcW w:type="dxa" w:w="2016"/>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Revisó esquemas RPC de Backend y tests BDD de QA.</w:t>
            </w:r>
          </w:p>
        </w:tc>
        <w:tc>
          <w:tcPr>
            <w:tcW w:type="dxa" w:w="3312"/>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Catálogo reactivo (/donaciones), modal 409 ConflictoTomaModal.tsx, acta ConfirmarEntregaModal.tsx y Server Action tomarDonacion.</w:t>
            </w:r>
          </w:p>
        </w:tc>
      </w:tr>
      <w:tr>
        <w:tc>
          <w:tcPr>
            <w:tcW w:type="dxa" w:w="1872"/>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Juan Sebastián Delgado</w:t>
              <w:br/>
              <w:t>(Backend / Database)</w:t>
            </w:r>
          </w:p>
        </w:tc>
        <w:tc>
          <w:tcPr>
            <w:tcW w:type="dxa" w:w="144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TASK-01, TASK-05,</w:t>
              <w:br/>
              <w:t>TASK-08, TASK-16</w:t>
            </w:r>
          </w:p>
        </w:tc>
        <w:tc>
          <w:tcPr>
            <w:tcW w:type="dxa" w:w="1728"/>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PR #24 (Función RPC)</w:t>
              <w:br/>
              <w:t>Commit 1efb634</w:t>
              <w:br/>
              <w:t>Migración DDL inicial</w:t>
            </w:r>
          </w:p>
        </w:tc>
        <w:tc>
          <w:tcPr>
            <w:tcW w:type="dxa" w:w="2016"/>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Revisó Server Actions en entregas.ts y donaciones.ts.</w:t>
            </w:r>
          </w:p>
        </w:tc>
        <w:tc>
          <w:tcPr>
            <w:tcW w:type="dxa" w:w="3312"/>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Función PostgreSQL endurecida tomar_donacion con FOR UPDATE (ADR-001), esquema DDL relacional y persistencia IndexedDB (db.ts).</w:t>
            </w:r>
          </w:p>
        </w:tc>
      </w:tr>
      <w:tr>
        <w:tc>
          <w:tcPr>
            <w:tcW w:type="dxa" w:w="1872"/>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Santiago Valencia</w:t>
              <w:br/>
              <w:t>(UX / Frontend Support)</w:t>
            </w:r>
          </w:p>
        </w:tc>
        <w:tc>
          <w:tcPr>
            <w:tcW w:type="dxa" w:w="1440"/>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TASK-02, TASK-07,</w:t>
              <w:br/>
              <w:t>TASK-18, TASK-20</w:t>
            </w:r>
          </w:p>
        </w:tc>
        <w:tc>
          <w:tcPr>
            <w:tcW w:type="dxa" w:w="1728"/>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PR #28 (Badges/Filtros)</w:t>
              <w:br/>
              <w:t>Commit 524f293</w:t>
              <w:br/>
              <w:t>Commit 9c4eb12</w:t>
            </w:r>
          </w:p>
        </w:tc>
        <w:tc>
          <w:tcPr>
            <w:tcW w:type="dxa" w:w="2016"/>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Revisó accesibilidad táctil en donaciones/page.tsx.</w:t>
            </w:r>
          </w:p>
        </w:tc>
        <w:tc>
          <w:tcPr>
            <w:tcW w:type="dxa" w:w="3312"/>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Componentes táctiles DonacionWizard.tsx, badge ColdChainBadge.tsx, barra de zonas ZonasFilter.tsx y estilos Windows 98 / SCADA.</w:t>
            </w:r>
          </w:p>
        </w:tc>
      </w:tr>
      <w:tr>
        <w:tc>
          <w:tcPr>
            <w:tcW w:type="dxa" w:w="1872"/>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Felipe Charria Caicedo</w:t>
              <w:br/>
              <w:t>(QA Engineer)</w:t>
            </w:r>
          </w:p>
        </w:tc>
        <w:tc>
          <w:tcPr>
            <w:tcW w:type="dxa" w:w="1440"/>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TASK-10 (Estrés)</w:t>
              <w:br/>
              <w:t>TASK-12 (Privacidad)</w:t>
              <w:br/>
              <w:t>TASK-17 (Catálogo BDD)</w:t>
            </w:r>
          </w:p>
        </w:tc>
        <w:tc>
          <w:tcPr>
            <w:tcW w:type="dxa" w:w="1728"/>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PR #26 (Pruebas CMP-02)</w:t>
              <w:br/>
              <w:t>PR #27 (Concurrencia)</w:t>
              <w:br/>
              <w:t>Commit a604dac</w:t>
            </w:r>
          </w:p>
        </w:tc>
        <w:tc>
          <w:tcPr>
            <w:tcW w:type="dxa" w:w="2016"/>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Revisó contratos de datos en donacion.ts y entrega.ts.</w:t>
            </w:r>
          </w:p>
        </w:tc>
        <w:tc>
          <w:tcPr>
            <w:tcW w:type="dxa" w:w="3312"/>
            <w:shd w:fill="FFFFFF"/>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9 suites automatizadas en Vitest: concurrency-lock.test.ts (Promise.all), habeas-data.test.ts (Ley 1581) y cmp-02-catalogo.test.ts.</w:t>
            </w:r>
          </w:p>
        </w:tc>
      </w:tr>
      <w:tr>
        <w:tc>
          <w:tcPr>
            <w:tcW w:type="dxa" w:w="1872"/>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Juan Camilo Peña</w:t>
              <w:br/>
              <w:t>(DevOps Engineer)</w:t>
            </w:r>
          </w:p>
        </w:tc>
        <w:tc>
          <w:tcPr>
            <w:tcW w:type="dxa" w:w="1440"/>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TASK-15 (CI/CD Pipeline</w:t>
              <w:br/>
              <w:t>y Free Tier $0 USD)</w:t>
            </w:r>
          </w:p>
        </w:tc>
        <w:tc>
          <w:tcPr>
            <w:tcW w:type="dxa" w:w="1728"/>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PR CI GitHub Actions</w:t>
              <w:br/>
              <w:t>Commit 3fa2a4b</w:t>
              <w:br/>
              <w:t>Workflow ci.yml</w:t>
            </w:r>
          </w:p>
        </w:tc>
        <w:tc>
          <w:tcPr>
            <w:tcW w:type="dxa" w:w="2016"/>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Revisó compilación y compuertas automáticas en PRs #24-#28.</w:t>
            </w:r>
          </w:p>
        </w:tc>
        <w:tc>
          <w:tcPr>
            <w:tcW w:type="dxa" w:w="3312"/>
            <w:shd w:fill="F4F7FB"/>
            <w:tcMar>
              <w:top w:w="70" w:type="dxa"/>
              <w:bottom w:w="70" w:type="dxa"/>
              <w:left w:w="100" w:type="dxa"/>
              <w:right w:w="100" w:type="dxa"/>
            </w:tcMar>
            <w:vAlign w:val="center"/>
          </w:tcPr>
          <w:p>
            <w:pPr>
              <w:spacing w:before="0" w:after="0" w:line="259" w:lineRule="auto"/>
              <w:jc w:val="left"/>
            </w:pPr>
            <w:r>
              <w:rPr>
                <w:rFonts w:ascii="Calibri" w:hAnsi="Calibri"/>
                <w:b w:val="0"/>
                <w:color w:val="232323"/>
                <w:sz w:val="16"/>
              </w:rPr>
              <w:t>Pipeline automatizado en .github/workflows/ci.yml (type-check, lint, test, build), despliegue continuo en Vercel y monitoreo Free Tier.</w:t>
            </w:r>
          </w:p>
        </w:tc>
      </w:tr>
    </w:tbl>
    <w:p>
      <w:pPr>
        <w:spacing w:after="80"/>
      </w:pPr>
    </w:p>
    <w:p>
      <w:pPr>
        <w:spacing w:before="60" w:after="40"/>
      </w:pPr>
      <w:r>
        <w:rPr>
          <w:rFonts w:ascii="Calibri" w:hAnsi="Calibri"/>
          <w:b/>
          <w:color w:val="1B365D"/>
          <w:sz w:val="20"/>
        </w:rPr>
        <w:t>7. Evidencia Automática de Verificación (CI/CD) y Declaración Ética de Asistentes de IA</w:t>
      </w:r>
    </w:p>
    <w:p>
      <w:pPr>
        <w:spacing w:before="0" w:after="40" w:line="252" w:lineRule="auto"/>
      </w:pPr>
      <w:r>
        <w:rPr>
          <w:rFonts w:ascii="Calibri" w:hAnsi="Calibri"/>
          <w:color w:val="222222"/>
          <w:sz w:val="16"/>
        </w:rPr>
        <w:t>• Compuerta de Calidad Automatizada (Criterio 3 Nivel 5): El repositorio cuenta con el pipeline de GitHub Actions (.github/workflows/ci.yml) que compila el código, ejecuta el linter de TypeScript y corre las 9 suites de pruebas unitarias y de integración (100% pasando en verde): cmp-01-donaciones.test.ts, cmp-02-catalogo.test.ts, cmp-03-toma-concurrente.test.ts, concurrency-lock.test.ts, tomar-donacion.test.ts, cmp-04-confirmacion-entrega.test.ts, habeas-data.test.ts, offline-flow.test.ts y metrics.test.ts. Ningún merge entra sin pasar el CI.</w:t>
      </w:r>
    </w:p>
    <w:p>
      <w:pPr>
        <w:spacing w:before="20" w:after="40" w:line="252" w:lineRule="auto"/>
      </w:pPr>
      <w:r>
        <w:rPr>
          <w:rFonts w:ascii="Calibri" w:hAnsi="Calibri"/>
          <w:color w:val="222222"/>
          <w:sz w:val="16"/>
        </w:rPr>
        <w:t>• Declaración de Uso de IA y Preparación para Sustentación en Vivo (Sábado 31): De conformidad con la constitución, el equipo declara el uso asistido de Antigravity IDE (Gemini 3.8 Flash y Claude) para scaffolding de pruebas BDD y exploración de contexto. Cada integrante del equipo ha auditado manualmente las funciones correspondientes a su rol, conoce la justificación técnica de cada línea integrada y está plenamente capacitado para sustentar en vivo ante el docente César Augusto Navia Rojas por qué está hecho así y qué pasaría si se cambiara. Ningún miembro responderá «lo generó la IA».</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EduardCY/nexo-rescate-alimentos" TargetMode="External"/><Relationship Id="rId10" Type="http://schemas.openxmlformats.org/officeDocument/2006/relationships/hyperlink" Target="https://github.com/users/EduardCY/projects/1" TargetMode="External"/><Relationship Id="rId11" Type="http://schemas.openxmlformats.org/officeDocument/2006/relationships/hyperlink" Target="https://nexo-rescate-alimentos.vercel.app" TargetMode="External"/><Relationship Id="rId12" Type="http://schemas.openxmlformats.org/officeDocument/2006/relationships/hyperlink" Target="https://drive.google.com/drive/folders/1V7ZJ2bXnexoRescateAlimentosDe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