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2E86C1"/>
          <w:spacing w:val="200"/>
          <w:sz w:val="24"/>
          <w:szCs w:val="24"/>
        </w:rPr>
        <w:t xml:space="preserve">PROJECT BRIEF</w:t>
      </w:r>
    </w:p>
    <w:p>
      <w:pPr>
        <w:spacing w:after="120"/>
        <w:jc w:val="center"/>
      </w:pPr>
      <w:r>
        <w:rPr>
          <w:rFonts w:ascii="Arial" w:cs="Arial" w:eastAsia="Arial" w:hAnsi="Arial"/>
          <w:b/>
          <w:bCs/>
          <w:color w:val="1B4F72"/>
          <w:sz w:val="56"/>
          <w:szCs w:val="56"/>
        </w:rPr>
        <w:t xml:space="preserve">Food &amp; CPG Product</w:t>
      </w:r>
    </w:p>
    <w:p>
      <w:pPr>
        <w:spacing w:after="400"/>
        <w:jc w:val="center"/>
      </w:pPr>
      <w:r>
        <w:rPr>
          <w:rFonts w:ascii="Arial" w:cs="Arial" w:eastAsia="Arial" w:hAnsi="Arial"/>
          <w:b/>
          <w:bCs/>
          <w:color w:val="1B4F72"/>
          <w:sz w:val="56"/>
          <w:szCs w:val="56"/>
        </w:rPr>
        <w:t xml:space="preserve">Intelligence Platform</w:t>
      </w:r>
    </w:p>
    <w:p>
      <w:pPr>
        <w:pBdr>
          <w:top w:val="single" w:color="2E86C1" w:sz="4" w:space="8"/>
        </w:pBdr>
        <w:spacing w:after="80"/>
        <w:jc w:val="center"/>
      </w:pPr>
      <w:r>
        <w:rPr>
          <w:rFonts w:ascii="Arial" w:cs="Arial" w:eastAsia="Arial" w:hAnsi="Arial"/>
          <w:color w:val="2C3E50"/>
          <w:sz w:val="24"/>
          <w:szCs w:val="24"/>
        </w:rPr>
        <w:t xml:space="preserve">Domain-Specific Q&amp;A System with Fine-Tuned AI</w:t>
      </w:r>
    </w:p>
    <w:p>
      <w:pPr>
        <w:spacing w:after="12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2E86C1"/>
                <w:sz w:val="20"/>
                <w:szCs w:val="20"/>
              </w:rPr>
              <w:t xml:space="preserve">Owner</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AI-First Consulting Inc.</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2E86C1"/>
                <w:sz w:val="20"/>
                <w:szCs w:val="20"/>
              </w:rPr>
              <w:t xml:space="preserve">Lead</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Eduard Kakosyan</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2E86C1"/>
                <w:sz w:val="20"/>
                <w:szCs w:val="20"/>
              </w:rPr>
              <w:t xml:space="preserve">Classification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Internal R&amp;D</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2E86C1"/>
                <w:sz w:val="20"/>
                <w:szCs w:val="20"/>
              </w:rPr>
              <w:t xml:space="preserve">Date</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March 30, 2026</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2E86C1"/>
                <w:sz w:val="20"/>
                <w:szCs w:val="20"/>
              </w:rPr>
              <w:t xml:space="preserve">Version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2.0</w:t>
            </w:r>
          </w:p>
        </w:tc>
      </w:tr>
    </w:tbl>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1. Executive Summary</w:t>
      </w:r>
    </w:p>
    <w:p>
      <w:pPr>
        <w:spacing w:after="120"/>
      </w:pPr>
      <w:r>
        <w:rPr>
          <w:rFonts w:ascii="Arial" w:cs="Arial" w:eastAsia="Arial" w:hAnsi="Arial"/>
          <w:color w:val="2C3E50"/>
          <w:sz w:val="20"/>
          <w:szCs w:val="20"/>
        </w:rPr>
        <w:t xml:space="preserve">This project brief defines the scope, objectives, and delivery plan for building an internal Food &amp; CPG Product Intelligence Platform. The system will enable users to ask natural-language questions about food products, ingredients, nutritional data, and market trends — and receive accurate, domain-grounded answers powered by a fine-tuned AI model combined with a retrieval-augmented generation (RAG) architecture.</w:t>
      </w:r>
    </w:p>
    <w:p>
      <w:pPr>
        <w:spacing w:after="120"/>
      </w:pPr>
      <w:r>
        <w:rPr>
          <w:rFonts w:ascii="Arial" w:cs="Arial" w:eastAsia="Arial" w:hAnsi="Arial"/>
          <w:color w:val="2C3E50"/>
          <w:sz w:val="20"/>
          <w:szCs w:val="20"/>
        </w:rPr>
        <w:t xml:space="preserve">This is a technical learning and R&amp;D initiative. Its primary purpose is to deepen the team’s expertise in local model fine-tuning, synthetic training data generation, RAG pipeline design, and rigorous model evaluation. The secondary purpose is to produce a demonstrable, domain-specific AI product that can be referenced in future client engagements within the food and CPG sector.</w:t>
      </w:r>
    </w:p>
    <w:p>
      <w:pPr>
        <w:spacing w:after="120"/>
      </w:pPr>
      <w:r>
        <w:rPr>
          <w:rFonts w:ascii="Arial" w:cs="Arial" w:eastAsia="Arial" w:hAnsi="Arial"/>
          <w:color w:val="2C3E50"/>
          <w:sz w:val="20"/>
          <w:szCs w:val="20"/>
        </w:rPr>
        <w:t xml:space="preserve">The platform will be built entirely in Python, leveraging the Unsloth library for parameter-efficient fine-tuning. The project follows a phased approach across six delivery milestones, with a dedicated evaluation framework running throughout to ensure fine-tuning improvements are measurable and evidence-based.</w:t>
      </w:r>
    </w:p>
    <w:p>
      <w:pPr>
        <w:pBdr>
          <w:bottom w:val="single" w:color="2E86C1" w:sz="4" w:space="1"/>
        </w:pBdr>
        <w:spacing w:after="200" w:before="200"/>
      </w:pPr>
    </w:p>
    <w:p>
      <w:pPr>
        <w:pStyle w:val="Heading1"/>
        <w:spacing w:after="200" w:before="360"/>
      </w:pPr>
      <w:r>
        <w:rPr>
          <w:rFonts w:ascii="Arial" w:cs="Arial" w:eastAsia="Arial" w:hAnsi="Arial"/>
          <w:b/>
          <w:bCs/>
          <w:color w:val="1B4F72"/>
          <w:sz w:val="32"/>
          <w:szCs w:val="32"/>
        </w:rPr>
        <w:t xml:space="preserve">2. Business Context &amp; Strategic Alignment</w:t>
      </w:r>
    </w:p>
    <w:p>
      <w:pPr>
        <w:spacing w:after="120"/>
      </w:pPr>
      <w:r>
        <w:rPr>
          <w:rFonts w:ascii="Arial" w:cs="Arial" w:eastAsia="Arial" w:hAnsi="Arial"/>
          <w:color w:val="2C3E50"/>
          <w:sz w:val="20"/>
          <w:szCs w:val="20"/>
        </w:rPr>
        <w:t xml:space="preserve">AI-First Consulting works with organizations across Atlantic Canada to adopt AI. Several current and prospective clients operate in the food, grocery, and consumer packaged goods sectors. This project addresses two strategic needs:</w:t>
      </w:r>
    </w:p>
    <w:p>
      <w:pPr>
        <w:pStyle w:val="ListParagraph"/>
        <w:numPr>
          <w:ilvl w:val="0"/>
          <w:numId w:val="2"/>
        </w:numPr>
        <w:spacing w:after="60"/>
      </w:pPr>
      <w:r>
        <w:rPr>
          <w:rFonts w:ascii="Arial" w:cs="Arial" w:eastAsia="Arial" w:hAnsi="Arial"/>
          <w:color w:val="2C3E50"/>
          <w:sz w:val="20"/>
          <w:szCs w:val="20"/>
        </w:rPr>
        <w:t xml:space="preserve">Building internal capability in model fine-tuning, synthetic data generation, and evaluation methodology — skills that directly support future client engagements involving custom AI solutions.</w:t>
      </w:r>
    </w:p>
    <w:p>
      <w:pPr>
        <w:pStyle w:val="ListParagraph"/>
        <w:numPr>
          <w:ilvl w:val="0"/>
          <w:numId w:val="2"/>
        </w:numPr>
        <w:spacing w:after="60"/>
      </w:pPr>
      <w:r>
        <w:rPr>
          <w:rFonts w:ascii="Arial" w:cs="Arial" w:eastAsia="Arial" w:hAnsi="Arial"/>
          <w:color w:val="2C3E50"/>
          <w:sz w:val="20"/>
          <w:szCs w:val="20"/>
        </w:rPr>
        <w:t xml:space="preserve">Creating a reference implementation and demo-ready product that showcases domain-specific AI capabilities to food and CPG industry prospects.</w:t>
      </w:r>
    </w:p>
    <w:p>
      <w:pPr>
        <w:spacing w:after="120"/>
      </w:pPr>
      <w:r>
        <w:rPr>
          <w:rFonts w:ascii="Arial" w:cs="Arial" w:eastAsia="Arial" w:hAnsi="Arial"/>
          <w:color w:val="2C3E50"/>
          <w:sz w:val="20"/>
          <w:szCs w:val="20"/>
        </w:rPr>
        <w:t xml:space="preserve">The food and CPG domain was selected because of its rich publicly available data, the complexity of real-world questions industry professionals ask, and the direct relevance to existing client relationships in Atlantic Canada’s food sector.</w:t>
      </w:r>
    </w:p>
    <w:p>
      <w:pPr>
        <w:pBdr>
          <w:bottom w:val="single" w:color="2E86C1" w:sz="4" w:space="1"/>
        </w:pBdr>
        <w:spacing w:after="200" w:before="200"/>
      </w:pPr>
    </w:p>
    <w:p>
      <w:pPr>
        <w:pStyle w:val="Heading1"/>
        <w:spacing w:after="200" w:before="360"/>
      </w:pPr>
      <w:r>
        <w:rPr>
          <w:rFonts w:ascii="Arial" w:cs="Arial" w:eastAsia="Arial" w:hAnsi="Arial"/>
          <w:b/>
          <w:bCs/>
          <w:color w:val="1B4F72"/>
          <w:sz w:val="32"/>
          <w:szCs w:val="32"/>
        </w:rPr>
        <w:t xml:space="preserve">3. Project Objectives</w:t>
      </w:r>
    </w:p>
    <w:p>
      <w:pPr>
        <w:pStyle w:val="Heading2"/>
        <w:spacing w:after="120" w:before="240"/>
      </w:pPr>
      <w:r>
        <w:rPr>
          <w:rFonts w:ascii="Arial" w:cs="Arial" w:eastAsia="Arial" w:hAnsi="Arial"/>
          <w:b/>
          <w:bCs/>
          <w:color w:val="2E86C1"/>
          <w:sz w:val="26"/>
          <w:szCs w:val="26"/>
        </w:rPr>
        <w:t xml:space="preserve">3.1 Primary Objectives</w:t>
      </w:r>
    </w:p>
    <w:p>
      <w:pPr>
        <w:pStyle w:val="ListParagraph"/>
        <w:numPr>
          <w:ilvl w:val="0"/>
          <w:numId w:val="2"/>
        </w:numPr>
        <w:spacing w:after="60"/>
      </w:pPr>
      <w:r>
        <w:rPr>
          <w:rFonts w:ascii="Arial" w:cs="Arial" w:eastAsia="Arial" w:hAnsi="Arial"/>
          <w:color w:val="2C3E50"/>
          <w:sz w:val="20"/>
          <w:szCs w:val="20"/>
        </w:rPr>
        <w:t xml:space="preserve">Build a working Q&amp;A system capable of answering domain-specific questions about food products, ingredients, nutrition, and market trends with cited, grounded responses.</w:t>
      </w:r>
    </w:p>
    <w:p>
      <w:pPr>
        <w:pStyle w:val="ListParagraph"/>
        <w:numPr>
          <w:ilvl w:val="0"/>
          <w:numId w:val="2"/>
        </w:numPr>
        <w:spacing w:after="60"/>
      </w:pPr>
      <w:r>
        <w:rPr>
          <w:rFonts w:ascii="Arial" w:cs="Arial" w:eastAsia="Arial" w:hAnsi="Arial"/>
          <w:color w:val="2C3E50"/>
          <w:sz w:val="20"/>
          <w:szCs w:val="20"/>
        </w:rPr>
        <w:t xml:space="preserve">Fine-tune a large language model using Unsloth on curated, domain-specific training data to improve response quality, terminology accuracy, and grounding behaviour beyond what a general-purpose model provides.</w:t>
      </w:r>
    </w:p>
    <w:p>
      <w:pPr>
        <w:pStyle w:val="ListParagraph"/>
        <w:numPr>
          <w:ilvl w:val="0"/>
          <w:numId w:val="2"/>
        </w:numPr>
        <w:spacing w:after="60"/>
      </w:pPr>
      <w:r>
        <w:rPr>
          <w:rFonts w:ascii="Arial" w:cs="Arial" w:eastAsia="Arial" w:hAnsi="Arial"/>
          <w:color w:val="2C3E50"/>
          <w:sz w:val="20"/>
          <w:szCs w:val="20"/>
        </w:rPr>
        <w:t xml:space="preserve">Design and implement a data pipeline that ingests, normalizes, and indexes large-scale food product datasets for retrieval at query time.</w:t>
      </w:r>
    </w:p>
    <w:p>
      <w:pPr>
        <w:pStyle w:val="ListParagraph"/>
        <w:numPr>
          <w:ilvl w:val="0"/>
          <w:numId w:val="2"/>
        </w:numPr>
        <w:spacing w:after="60"/>
      </w:pPr>
      <w:r>
        <w:rPr>
          <w:rFonts w:ascii="Arial" w:cs="Arial" w:eastAsia="Arial" w:hAnsi="Arial"/>
          <w:color w:val="2C3E50"/>
          <w:sz w:val="20"/>
          <w:szCs w:val="20"/>
        </w:rPr>
        <w:t xml:space="preserve">Build a rigorous evaluation framework that quantitatively demonstrates whether fine-tuning improved model performance, with specific metrics for correctness, grounding, and hallucination resistance.</w:t>
      </w:r>
    </w:p>
    <w:p>
      <w:pPr>
        <w:pStyle w:val="Heading2"/>
        <w:spacing w:after="120" w:before="240"/>
      </w:pPr>
      <w:r>
        <w:rPr>
          <w:rFonts w:ascii="Arial" w:cs="Arial" w:eastAsia="Arial" w:hAnsi="Arial"/>
          <w:b/>
          <w:bCs/>
          <w:color w:val="2E86C1"/>
          <w:sz w:val="26"/>
          <w:szCs w:val="26"/>
        </w:rPr>
        <w:t xml:space="preserve">3.2 Learning Objectives</w:t>
      </w:r>
    </w:p>
    <w:p>
      <w:pPr>
        <w:pStyle w:val="ListParagraph"/>
        <w:numPr>
          <w:ilvl w:val="0"/>
          <w:numId w:val="2"/>
        </w:numPr>
        <w:spacing w:after="60"/>
      </w:pPr>
      <w:r>
        <w:rPr>
          <w:rFonts w:ascii="Arial" w:cs="Arial" w:eastAsia="Arial" w:hAnsi="Arial"/>
          <w:color w:val="2C3E50"/>
          <w:sz w:val="20"/>
          <w:szCs w:val="20"/>
        </w:rPr>
        <w:t xml:space="preserve">Gain hands-on experience with QLoRA/LoRA fine-tuning workflows using Unsloth on consumer-grade hardware (Apple Silicon M4 Pro).</w:t>
      </w:r>
    </w:p>
    <w:p>
      <w:pPr>
        <w:pStyle w:val="ListParagraph"/>
        <w:numPr>
          <w:ilvl w:val="0"/>
          <w:numId w:val="2"/>
        </w:numPr>
        <w:spacing w:after="60"/>
      </w:pPr>
      <w:r>
        <w:rPr>
          <w:rFonts w:ascii="Arial" w:cs="Arial" w:eastAsia="Arial" w:hAnsi="Arial"/>
          <w:color w:val="2C3E50"/>
          <w:sz w:val="20"/>
          <w:szCs w:val="20"/>
        </w:rPr>
        <w:t xml:space="preserve">Develop expertise in synthetic training data generation at scale using LLM-assisted approaches.</w:t>
      </w:r>
    </w:p>
    <w:p>
      <w:pPr>
        <w:pStyle w:val="ListParagraph"/>
        <w:numPr>
          <w:ilvl w:val="0"/>
          <w:numId w:val="2"/>
        </w:numPr>
        <w:spacing w:after="60"/>
      </w:pPr>
      <w:r>
        <w:rPr>
          <w:rFonts w:ascii="Arial" w:cs="Arial" w:eastAsia="Arial" w:hAnsi="Arial"/>
          <w:color w:val="2C3E50"/>
          <w:sz w:val="20"/>
          <w:szCs w:val="20"/>
        </w:rPr>
        <w:t xml:space="preserve">Build proficiency in model evaluation methodology including automated metrics (RAGAS), LLM-as-judge scoring, and gold standard test set design.</w:t>
      </w:r>
    </w:p>
    <w:p>
      <w:pPr>
        <w:pStyle w:val="ListParagraph"/>
        <w:numPr>
          <w:ilvl w:val="0"/>
          <w:numId w:val="2"/>
        </w:numPr>
        <w:spacing w:after="60"/>
      </w:pPr>
      <w:r>
        <w:rPr>
          <w:rFonts w:ascii="Arial" w:cs="Arial" w:eastAsia="Arial" w:hAnsi="Arial"/>
          <w:color w:val="2C3E50"/>
          <w:sz w:val="20"/>
          <w:szCs w:val="20"/>
        </w:rPr>
        <w:t xml:space="preserve">Evaluate and compare vector storage solutions for domain-specific retrieval tasks.</w:t>
      </w:r>
    </w:p>
    <w:p>
      <w:pPr>
        <w:pBdr>
          <w:bottom w:val="single" w:color="2E86C1" w:sz="4" w:space="1"/>
        </w:pBdr>
        <w:spacing w:after="200" w:before="200"/>
      </w:pPr>
    </w:p>
    <w:p>
      <w:pPr>
        <w:pStyle w:val="Heading1"/>
        <w:spacing w:after="200" w:before="360"/>
      </w:pPr>
      <w:r>
        <w:rPr>
          <w:rFonts w:ascii="Arial" w:cs="Arial" w:eastAsia="Arial" w:hAnsi="Arial"/>
          <w:b/>
          <w:bCs/>
          <w:color w:val="1B4F72"/>
          <w:sz w:val="32"/>
          <w:szCs w:val="32"/>
        </w:rPr>
        <w:t xml:space="preserve">4. Scope Definition</w:t>
      </w:r>
    </w:p>
    <w:p>
      <w:pPr>
        <w:pStyle w:val="Heading2"/>
        <w:spacing w:after="120" w:before="240"/>
      </w:pPr>
      <w:r>
        <w:rPr>
          <w:rFonts w:ascii="Arial" w:cs="Arial" w:eastAsia="Arial" w:hAnsi="Arial"/>
          <w:b/>
          <w:bCs/>
          <w:color w:val="2E86C1"/>
          <w:sz w:val="26"/>
          <w:szCs w:val="26"/>
        </w:rPr>
        <w:t xml:space="preserve">4.1 In Scope</w:t>
      </w:r>
    </w:p>
    <w:p>
      <w:pPr>
        <w:pStyle w:val="ListParagraph"/>
        <w:numPr>
          <w:ilvl w:val="0"/>
          <w:numId w:val="2"/>
        </w:numPr>
        <w:spacing w:after="60"/>
      </w:pPr>
      <w:r>
        <w:rPr>
          <w:rFonts w:ascii="Arial" w:cs="Arial" w:eastAsia="Arial" w:hAnsi="Arial"/>
          <w:color w:val="2C3E50"/>
          <w:sz w:val="20"/>
          <w:szCs w:val="20"/>
        </w:rPr>
        <w:t xml:space="preserve">Data ingestion pipeline for Open Food Facts (Canadian subset: ~30,000–50,000 products), USDA FoodData Central, and CFIA recall/safety data.</w:t>
      </w:r>
    </w:p>
    <w:p>
      <w:pPr>
        <w:pStyle w:val="ListParagraph"/>
        <w:numPr>
          <w:ilvl w:val="0"/>
          <w:numId w:val="2"/>
        </w:numPr>
        <w:spacing w:after="60"/>
      </w:pPr>
      <w:r>
        <w:rPr>
          <w:rFonts w:ascii="Arial" w:cs="Arial" w:eastAsia="Arial" w:hAnsi="Arial"/>
          <w:color w:val="2C3E50"/>
          <w:sz w:val="20"/>
          <w:szCs w:val="20"/>
        </w:rPr>
        <w:t xml:space="preserve">Data normalization, deduplication, and enrichment across sources.</w:t>
      </w:r>
    </w:p>
    <w:p>
      <w:pPr>
        <w:pStyle w:val="ListParagraph"/>
        <w:numPr>
          <w:ilvl w:val="0"/>
          <w:numId w:val="2"/>
        </w:numPr>
        <w:spacing w:after="60"/>
      </w:pPr>
      <w:r>
        <w:rPr>
          <w:rFonts w:ascii="Arial" w:cs="Arial" w:eastAsia="Arial" w:hAnsi="Arial"/>
          <w:color w:val="2C3E50"/>
          <w:sz w:val="20"/>
          <w:szCs w:val="20"/>
        </w:rPr>
        <w:t xml:space="preserve">Embedding generation using a locally-hosted embedding model.</w:t>
      </w:r>
    </w:p>
    <w:p>
      <w:pPr>
        <w:pStyle w:val="ListParagraph"/>
        <w:numPr>
          <w:ilvl w:val="0"/>
          <w:numId w:val="2"/>
        </w:numPr>
        <w:spacing w:after="60"/>
      </w:pPr>
      <w:r>
        <w:rPr>
          <w:rFonts w:ascii="Arial" w:cs="Arial" w:eastAsia="Arial" w:hAnsi="Arial"/>
          <w:color w:val="2C3E50"/>
          <w:sz w:val="20"/>
          <w:szCs w:val="20"/>
        </w:rPr>
        <w:t xml:space="preserve">Vector storage and retrieval layer with support for hybrid search (vector similarity + metadata filtering).</w:t>
      </w:r>
    </w:p>
    <w:p>
      <w:pPr>
        <w:pStyle w:val="ListParagraph"/>
        <w:numPr>
          <w:ilvl w:val="0"/>
          <w:numId w:val="2"/>
        </w:numPr>
        <w:spacing w:after="60"/>
      </w:pPr>
      <w:r>
        <w:rPr>
          <w:rFonts w:ascii="Arial" w:cs="Arial" w:eastAsia="Arial" w:hAnsi="Arial"/>
          <w:color w:val="2C3E50"/>
          <w:sz w:val="20"/>
          <w:szCs w:val="20"/>
        </w:rPr>
        <w:t xml:space="preserve">Synthetic training data generation: 3,000–5,000 instruction/context/response triples across defined question categories.</w:t>
      </w:r>
    </w:p>
    <w:p>
      <w:pPr>
        <w:pStyle w:val="ListParagraph"/>
        <w:numPr>
          <w:ilvl w:val="0"/>
          <w:numId w:val="2"/>
        </w:numPr>
        <w:spacing w:after="60"/>
      </w:pPr>
      <w:r>
        <w:rPr>
          <w:rFonts w:ascii="Arial" w:cs="Arial" w:eastAsia="Arial" w:hAnsi="Arial"/>
          <w:color w:val="2C3E50"/>
          <w:sz w:val="20"/>
          <w:szCs w:val="20"/>
        </w:rPr>
        <w:t xml:space="preserve">Gold standard evaluation test set: 200–300 manually verified Q&amp;A pairs with ground truth answers.</w:t>
      </w:r>
    </w:p>
    <w:p>
      <w:pPr>
        <w:pStyle w:val="ListParagraph"/>
        <w:numPr>
          <w:ilvl w:val="0"/>
          <w:numId w:val="2"/>
        </w:numPr>
        <w:spacing w:after="60"/>
      </w:pPr>
      <w:r>
        <w:rPr>
          <w:rFonts w:ascii="Arial" w:cs="Arial" w:eastAsia="Arial" w:hAnsi="Arial"/>
          <w:color w:val="2C3E50"/>
          <w:sz w:val="20"/>
          <w:szCs w:val="20"/>
        </w:rPr>
        <w:t xml:space="preserve">QLoRA fine-tuning of a 7–8B parameter model using Unsloth (Mistral 7B or Llama 3.1 8B).</w:t>
      </w:r>
    </w:p>
    <w:p>
      <w:pPr>
        <w:pStyle w:val="ListParagraph"/>
        <w:numPr>
          <w:ilvl w:val="0"/>
          <w:numId w:val="2"/>
        </w:numPr>
        <w:spacing w:after="60"/>
      </w:pPr>
      <w:r>
        <w:rPr>
          <w:rFonts w:ascii="Arial" w:cs="Arial" w:eastAsia="Arial" w:hAnsi="Arial"/>
          <w:color w:val="2C3E50"/>
          <w:sz w:val="20"/>
          <w:szCs w:val="20"/>
        </w:rPr>
        <w:t xml:space="preserve">Three-layer evaluation framework: gold standard test set, RAGAS retrieval metrics, and LLM-as-judge scoring.</w:t>
      </w:r>
    </w:p>
    <w:p>
      <w:pPr>
        <w:pStyle w:val="ListParagraph"/>
        <w:numPr>
          <w:ilvl w:val="0"/>
          <w:numId w:val="2"/>
        </w:numPr>
        <w:spacing w:after="60"/>
      </w:pPr>
      <w:r>
        <w:rPr>
          <w:rFonts w:ascii="Arial" w:cs="Arial" w:eastAsia="Arial" w:hAnsi="Arial"/>
          <w:color w:val="2C3E50"/>
          <w:sz w:val="20"/>
          <w:szCs w:val="20"/>
        </w:rPr>
        <w:t xml:space="preserve">RAG inference pipeline: query → embed → retrieve → construct prompt → generate response.</w:t>
      </w:r>
    </w:p>
    <w:p>
      <w:pPr>
        <w:pStyle w:val="ListParagraph"/>
        <w:numPr>
          <w:ilvl w:val="0"/>
          <w:numId w:val="2"/>
        </w:numPr>
        <w:spacing w:after="60"/>
      </w:pPr>
      <w:r>
        <w:rPr>
          <w:rFonts w:ascii="Arial" w:cs="Arial" w:eastAsia="Arial" w:hAnsi="Arial"/>
          <w:color w:val="2C3E50"/>
          <w:sz w:val="20"/>
          <w:szCs w:val="20"/>
        </w:rPr>
        <w:t xml:space="preserve">Local development environment targeting Apple Silicon M4 Pro.</w:t>
      </w:r>
    </w:p>
    <w:p>
      <w:pPr>
        <w:pStyle w:val="ListParagraph"/>
        <w:numPr>
          <w:ilvl w:val="0"/>
          <w:numId w:val="2"/>
        </w:numPr>
        <w:spacing w:after="60"/>
      </w:pPr>
      <w:r>
        <w:rPr>
          <w:rFonts w:ascii="Arial" w:cs="Arial" w:eastAsia="Arial" w:hAnsi="Arial"/>
          <w:color w:val="2C3E50"/>
          <w:sz w:val="20"/>
          <w:szCs w:val="20"/>
        </w:rPr>
        <w:t xml:space="preserve">Cloud deployment pathway for the serving layer.</w:t>
      </w:r>
    </w:p>
    <w:p>
      <w:pPr>
        <w:pStyle w:val="Heading2"/>
        <w:spacing w:after="120" w:before="240"/>
      </w:pPr>
      <w:r>
        <w:rPr>
          <w:rFonts w:ascii="Arial" w:cs="Arial" w:eastAsia="Arial" w:hAnsi="Arial"/>
          <w:b/>
          <w:bCs/>
          <w:color w:val="2E86C1"/>
          <w:sz w:val="26"/>
          <w:szCs w:val="26"/>
        </w:rPr>
        <w:t xml:space="preserve">4.2 Out of Scope</w:t>
      </w:r>
    </w:p>
    <w:p>
      <w:pPr>
        <w:pStyle w:val="ListParagraph"/>
        <w:numPr>
          <w:ilvl w:val="0"/>
          <w:numId w:val="2"/>
        </w:numPr>
        <w:spacing w:after="60"/>
      </w:pPr>
      <w:r>
        <w:rPr>
          <w:rFonts w:ascii="Arial" w:cs="Arial" w:eastAsia="Arial" w:hAnsi="Arial"/>
          <w:color w:val="2C3E50"/>
          <w:sz w:val="20"/>
          <w:szCs w:val="20"/>
        </w:rPr>
        <w:t xml:space="preserve">Production-grade user interface (CLI and API endpoints only for this phase).</w:t>
      </w:r>
    </w:p>
    <w:p>
      <w:pPr>
        <w:pStyle w:val="ListParagraph"/>
        <w:numPr>
          <w:ilvl w:val="0"/>
          <w:numId w:val="2"/>
        </w:numPr>
        <w:spacing w:after="60"/>
      </w:pPr>
      <w:r>
        <w:rPr>
          <w:rFonts w:ascii="Arial" w:cs="Arial" w:eastAsia="Arial" w:hAnsi="Arial"/>
          <w:color w:val="2C3E50"/>
          <w:sz w:val="20"/>
          <w:szCs w:val="20"/>
        </w:rPr>
        <w:t xml:space="preserve">Real-time pricing or promotional data integration (future enhancement).</w:t>
      </w:r>
    </w:p>
    <w:p>
      <w:pPr>
        <w:pStyle w:val="ListParagraph"/>
        <w:numPr>
          <w:ilvl w:val="0"/>
          <w:numId w:val="2"/>
        </w:numPr>
        <w:spacing w:after="60"/>
      </w:pPr>
      <w:r>
        <w:rPr>
          <w:rFonts w:ascii="Arial" w:cs="Arial" w:eastAsia="Arial" w:hAnsi="Arial"/>
          <w:color w:val="2C3E50"/>
          <w:sz w:val="20"/>
          <w:szCs w:val="20"/>
        </w:rPr>
        <w:t xml:space="preserve">Multi-language support beyond English (French Canadian products will be included in data but Q&amp;A will target English).</w:t>
      </w:r>
    </w:p>
    <w:p>
      <w:pPr>
        <w:pStyle w:val="ListParagraph"/>
        <w:numPr>
          <w:ilvl w:val="0"/>
          <w:numId w:val="2"/>
        </w:numPr>
        <w:spacing w:after="60"/>
      </w:pPr>
      <w:r>
        <w:rPr>
          <w:rFonts w:ascii="Arial" w:cs="Arial" w:eastAsia="Arial" w:hAnsi="Arial"/>
          <w:color w:val="2C3E50"/>
          <w:sz w:val="20"/>
          <w:szCs w:val="20"/>
        </w:rPr>
        <w:t xml:space="preserve">Full fine-tuning (only parameter-efficient fine-tuning via QLoRA).</w:t>
      </w:r>
    </w:p>
    <w:p>
      <w:pPr>
        <w:pStyle w:val="ListParagraph"/>
        <w:numPr>
          <w:ilvl w:val="0"/>
          <w:numId w:val="2"/>
        </w:numPr>
        <w:spacing w:after="60"/>
      </w:pPr>
      <w:r>
        <w:rPr>
          <w:rFonts w:ascii="Arial" w:cs="Arial" w:eastAsia="Arial" w:hAnsi="Arial"/>
          <w:color w:val="2C3E50"/>
          <w:sz w:val="20"/>
          <w:szCs w:val="20"/>
        </w:rPr>
        <w:t xml:space="preserve">Client-facing deployment or external user access.</w:t>
      </w:r>
    </w:p>
    <w:p>
      <w:pPr>
        <w:pStyle w:val="ListParagraph"/>
        <w:numPr>
          <w:ilvl w:val="0"/>
          <w:numId w:val="2"/>
        </w:numPr>
        <w:spacing w:after="60"/>
      </w:pPr>
      <w:r>
        <w:rPr>
          <w:rFonts w:ascii="Arial" w:cs="Arial" w:eastAsia="Arial" w:hAnsi="Arial"/>
          <w:color w:val="2C3E50"/>
          <w:sz w:val="20"/>
          <w:szCs w:val="20"/>
        </w:rPr>
        <w:t xml:space="preserve">Go language components (the pipeline will be pure Python; Go optimization may be explored in a future phase if performance bottlenecks emerge).</w:t>
      </w:r>
    </w:p>
    <w:p>
      <w:pPr>
        <w:pBdr>
          <w:bottom w:val="single" w:color="2E86C1" w:sz="4" w:space="1"/>
        </w:pBdr>
        <w:spacing w:after="200" w:before="200"/>
      </w:pPr>
    </w:p>
    <w:p>
      <w:pPr>
        <w:pStyle w:val="Heading1"/>
        <w:spacing w:after="200" w:before="360"/>
      </w:pPr>
      <w:r>
        <w:rPr>
          <w:rFonts w:ascii="Arial" w:cs="Arial" w:eastAsia="Arial" w:hAnsi="Arial"/>
          <w:b/>
          <w:bCs/>
          <w:color w:val="1B4F72"/>
          <w:sz w:val="32"/>
          <w:szCs w:val="32"/>
        </w:rPr>
        <w:t xml:space="preserve">5. Data Strategy</w:t>
      </w:r>
    </w:p>
    <w:p>
      <w:pPr>
        <w:pStyle w:val="Heading2"/>
        <w:spacing w:after="120" w:before="240"/>
      </w:pPr>
      <w:r>
        <w:rPr>
          <w:rFonts w:ascii="Arial" w:cs="Arial" w:eastAsia="Arial" w:hAnsi="Arial"/>
          <w:b/>
          <w:bCs/>
          <w:color w:val="2E86C1"/>
          <w:sz w:val="26"/>
          <w:szCs w:val="26"/>
        </w:rPr>
        <w:t xml:space="preserve">5.1 Source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Scale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2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Open Food Facts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~30K–50K Canadian products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CSV / JSONL</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Products, ingredients, nutrition, allergens, categories, Nutri-Score, NOVA</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USDA FoodData Central</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~400K food items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JSON / API</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Detailed nutrient profiles, branded products, standard reference data</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CFIA Recalls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Historical database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HTML / API</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Product recalls, safety alerts, labeling compliance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Atlantic Producer Directories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~500–1,000 entries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Web / CSV</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Local producer names, products, regions, retail channels</w:t>
            </w:r>
          </w:p>
        </w:tc>
      </w:tr>
    </w:tbl>
    <w:p>
      <w:pPr>
        <w:spacing w:after="120"/>
      </w:pPr>
    </w:p>
    <w:p>
      <w:pPr>
        <w:pStyle w:val="Heading2"/>
        <w:spacing w:after="120" w:before="240"/>
      </w:pPr>
      <w:r>
        <w:rPr>
          <w:rFonts w:ascii="Arial" w:cs="Arial" w:eastAsia="Arial" w:hAnsi="Arial"/>
          <w:b/>
          <w:bCs/>
          <w:color w:val="2E86C1"/>
          <w:sz w:val="26"/>
          <w:szCs w:val="26"/>
        </w:rPr>
        <w:t xml:space="preserve">5.2 Training Data Categories</w:t>
      </w:r>
    </w:p>
    <w:p>
      <w:pPr>
        <w:spacing w:after="120"/>
      </w:pPr>
      <w:r>
        <w:rPr>
          <w:rFonts w:ascii="Arial" w:cs="Arial" w:eastAsia="Arial" w:hAnsi="Arial"/>
          <w:color w:val="2C3E50"/>
          <w:sz w:val="20"/>
          <w:szCs w:val="20"/>
        </w:rPr>
        <w:t xml:space="preserve">Synthetic Q&amp;A training pairs will be generated across five categories, each designed to develop a specific capability in the fine-tuned model:</w:t>
      </w:r>
    </w:p>
    <w:p>
      <w:pPr>
        <w:pStyle w:val="ListParagraph"/>
        <w:numPr>
          <w:ilvl w:val="0"/>
          <w:numId w:val="2"/>
        </w:numPr>
        <w:spacing w:after="60"/>
      </w:pPr>
      <w:r>
        <w:rPr>
          <w:rFonts w:ascii="Arial" w:cs="Arial" w:eastAsia="Arial" w:hAnsi="Arial"/>
          <w:b/>
          <w:bCs/>
          <w:color w:val="2C3E50"/>
          <w:sz w:val="20"/>
          <w:szCs w:val="20"/>
        </w:rPr>
        <w:t xml:space="preserve">Product Discovery</w:t>
      </w:r>
      <w:r>
        <w:rPr>
          <w:rFonts w:ascii="Arial" w:cs="Arial" w:eastAsia="Arial" w:hAnsi="Arial"/>
          <w:color w:val="2C3E50"/>
          <w:sz w:val="20"/>
          <w:szCs w:val="20"/>
        </w:rPr>
        <w:t xml:space="preserve"> — finding products matching specific criteria (brand, category, dietary attributes, region).</w:t>
      </w:r>
    </w:p>
    <w:p>
      <w:pPr>
        <w:pStyle w:val="ListParagraph"/>
        <w:numPr>
          <w:ilvl w:val="0"/>
          <w:numId w:val="2"/>
        </w:numPr>
        <w:spacing w:after="60"/>
      </w:pPr>
      <w:r>
        <w:rPr>
          <w:rFonts w:ascii="Arial" w:cs="Arial" w:eastAsia="Arial" w:hAnsi="Arial"/>
          <w:b/>
          <w:bCs/>
          <w:color w:val="2C3E50"/>
          <w:sz w:val="20"/>
          <w:szCs w:val="20"/>
        </w:rPr>
        <w:t xml:space="preserve">Comparative Analysis</w:t>
      </w:r>
      <w:r>
        <w:rPr>
          <w:rFonts w:ascii="Arial" w:cs="Arial" w:eastAsia="Arial" w:hAnsi="Arial"/>
          <w:color w:val="2C3E50"/>
          <w:sz w:val="20"/>
          <w:szCs w:val="20"/>
        </w:rPr>
        <w:t xml:space="preserve"> — comparing products across nutritional, ingredient, or category dimensions.</w:t>
      </w:r>
    </w:p>
    <w:p>
      <w:pPr>
        <w:pStyle w:val="ListParagraph"/>
        <w:numPr>
          <w:ilvl w:val="0"/>
          <w:numId w:val="2"/>
        </w:numPr>
        <w:spacing w:after="60"/>
      </w:pPr>
      <w:r>
        <w:rPr>
          <w:rFonts w:ascii="Arial" w:cs="Arial" w:eastAsia="Arial" w:hAnsi="Arial"/>
          <w:b/>
          <w:bCs/>
          <w:color w:val="2C3E50"/>
          <w:sz w:val="20"/>
          <w:szCs w:val="20"/>
        </w:rPr>
        <w:t xml:space="preserve">Ingredient Interpretation</w:t>
      </w:r>
      <w:r>
        <w:rPr>
          <w:rFonts w:ascii="Arial" w:cs="Arial" w:eastAsia="Arial" w:hAnsi="Arial"/>
          <w:color w:val="2C3E50"/>
          <w:sz w:val="20"/>
          <w:szCs w:val="20"/>
        </w:rPr>
        <w:t xml:space="preserve"> — analyzing ingredient lists for allergens, processing level, clean-label assessment.</w:t>
      </w:r>
    </w:p>
    <w:p>
      <w:pPr>
        <w:pStyle w:val="ListParagraph"/>
        <w:numPr>
          <w:ilvl w:val="0"/>
          <w:numId w:val="2"/>
        </w:numPr>
        <w:spacing w:after="60"/>
      </w:pPr>
      <w:r>
        <w:rPr>
          <w:rFonts w:ascii="Arial" w:cs="Arial" w:eastAsia="Arial" w:hAnsi="Arial"/>
          <w:b/>
          <w:bCs/>
          <w:color w:val="2C3E50"/>
          <w:sz w:val="20"/>
          <w:szCs w:val="20"/>
        </w:rPr>
        <w:t xml:space="preserve">Trend and Category Analysis</w:t>
      </w:r>
      <w:r>
        <w:rPr>
          <w:rFonts w:ascii="Arial" w:cs="Arial" w:eastAsia="Arial" w:hAnsi="Arial"/>
          <w:color w:val="2C3E50"/>
          <w:sz w:val="20"/>
          <w:szCs w:val="20"/>
        </w:rPr>
        <w:t xml:space="preserve"> — identifying patterns, new entrants, and shifts within product categories.</w:t>
      </w:r>
    </w:p>
    <w:p>
      <w:pPr>
        <w:pStyle w:val="ListParagraph"/>
        <w:numPr>
          <w:ilvl w:val="0"/>
          <w:numId w:val="2"/>
        </w:numPr>
        <w:spacing w:after="60"/>
      </w:pPr>
      <w:r>
        <w:rPr>
          <w:rFonts w:ascii="Arial" w:cs="Arial" w:eastAsia="Arial" w:hAnsi="Arial"/>
          <w:b/>
          <w:bCs/>
          <w:color w:val="2C3E50"/>
          <w:sz w:val="20"/>
          <w:szCs w:val="20"/>
        </w:rPr>
        <w:t xml:space="preserve">Unanswerable Queries</w:t>
      </w:r>
      <w:r>
        <w:rPr>
          <w:rFonts w:ascii="Arial" w:cs="Arial" w:eastAsia="Arial" w:hAnsi="Arial"/>
          <w:color w:val="2C3E50"/>
          <w:sz w:val="20"/>
          <w:szCs w:val="20"/>
        </w:rPr>
        <w:t xml:space="preserve"> — questions where the retrieved context deliberately does not contain the answer, training the model to acknowledge information gaps rather than hallucinate.</w:t>
      </w:r>
    </w:p>
    <w:p>
      <w:pPr>
        <w:spacing w:after="120"/>
      </w:pPr>
      <w:r>
        <w:rPr>
          <w:rFonts w:ascii="Arial" w:cs="Arial" w:eastAsia="Arial" w:hAnsi="Arial"/>
          <w:color w:val="2C3E50"/>
          <w:sz w:val="20"/>
          <w:szCs w:val="20"/>
        </w:rPr>
        <w:t xml:space="preserve">Target: 3,000–5,000 curated instruction/context/response triples, with human review of a minimum 10% sample for quality assurance. Unanswerable queries should comprise 15–20% of the total dataset.</w:t>
      </w:r>
    </w:p>
    <w:p>
      <w:pPr>
        <w:pBdr>
          <w:bottom w:val="single" w:color="2E86C1" w:sz="4" w:space="1"/>
        </w:pBdr>
        <w:spacing w:after="200" w:before="200"/>
      </w:pPr>
    </w:p>
    <w:p>
      <w:pPr>
        <w:pStyle w:val="Heading1"/>
        <w:spacing w:after="200" w:before="360"/>
      </w:pPr>
      <w:r>
        <w:rPr>
          <w:rFonts w:ascii="Arial" w:cs="Arial" w:eastAsia="Arial" w:hAnsi="Arial"/>
          <w:b/>
          <w:bCs/>
          <w:color w:val="1B4F72"/>
          <w:sz w:val="32"/>
          <w:szCs w:val="32"/>
        </w:rPr>
        <w:t xml:space="preserve">6. Evaluation Framework</w:t>
      </w:r>
    </w:p>
    <w:p>
      <w:pPr>
        <w:spacing w:after="120"/>
      </w:pPr>
      <w:r>
        <w:rPr>
          <w:rFonts w:ascii="Arial" w:cs="Arial" w:eastAsia="Arial" w:hAnsi="Arial"/>
          <w:color w:val="2C3E50"/>
          <w:sz w:val="20"/>
          <w:szCs w:val="20"/>
        </w:rPr>
        <w:t xml:space="preserve">The evaluation framework is the backbone of this project. Without rigorous measurement, there is no way to determine whether fine-tuning improved model performance or whether the system is producing reliable, grounded answers. The framework operates across three layers, each measuring a different dimension of system quality.</w:t>
      </w:r>
    </w:p>
    <w:p>
      <w:pPr>
        <w:pStyle w:val="Heading2"/>
        <w:spacing w:after="120" w:before="240"/>
      </w:pPr>
      <w:r>
        <w:rPr>
          <w:rFonts w:ascii="Arial" w:cs="Arial" w:eastAsia="Arial" w:hAnsi="Arial"/>
          <w:b/>
          <w:bCs/>
          <w:color w:val="2E86C1"/>
          <w:sz w:val="26"/>
          <w:szCs w:val="26"/>
        </w:rPr>
        <w:t xml:space="preserve">6.1 Layer 1: Gold Standard Test Set</w:t>
      </w:r>
    </w:p>
    <w:p>
      <w:pPr>
        <w:spacing w:after="120"/>
      </w:pPr>
      <w:r>
        <w:rPr>
          <w:rFonts w:ascii="Arial" w:cs="Arial" w:eastAsia="Arial" w:hAnsi="Arial"/>
          <w:color w:val="2C3E50"/>
          <w:sz w:val="20"/>
          <w:szCs w:val="20"/>
        </w:rPr>
        <w:t xml:space="preserve">A manually curated set of 200–300 question-answer pairs where the correct answer has been verified against the source data by a human reviewer. This set serves as ground truth and is never included in training data.</w:t>
      </w:r>
    </w:p>
    <w:p>
      <w:pPr>
        <w:spacing w:after="120"/>
      </w:pPr>
      <w:r>
        <w:rPr>
          <w:rFonts w:ascii="Arial" w:cs="Arial" w:eastAsia="Arial" w:hAnsi="Arial"/>
          <w:b/>
          <w:bCs/>
          <w:color w:val="2C3E50"/>
          <w:sz w:val="20"/>
          <w:szCs w:val="20"/>
        </w:rPr>
        <w:t xml:space="preserve">Composition: </w:t>
      </w:r>
      <w:r>
        <w:rPr>
          <w:rFonts w:ascii="Arial" w:cs="Arial" w:eastAsia="Arial" w:hAnsi="Arial"/>
          <w:color w:val="2C3E50"/>
          <w:sz w:val="20"/>
          <w:szCs w:val="20"/>
        </w:rPr>
        <w:t xml:space="preserve">The test set will be stratified across all five question categories (product discovery, comparative analysis, ingredient interpretation, trend analysis, and unanswerable queries). Each entry records the question, the verified correct answer, the specific product records or data points that support the answer, and whether the question is answerable from the corpus.</w:t>
      </w:r>
    </w:p>
    <w:p>
      <w:pPr>
        <w:spacing w:after="120"/>
      </w:pPr>
      <w:r>
        <w:rPr>
          <w:rFonts w:ascii="Arial" w:cs="Arial" w:eastAsia="Arial" w:hAnsi="Arial"/>
          <w:b/>
          <w:bCs/>
          <w:color w:val="2C3E50"/>
          <w:sz w:val="20"/>
          <w:szCs w:val="20"/>
        </w:rPr>
        <w:t xml:space="preserve">Usage: </w:t>
      </w:r>
      <w:r>
        <w:rPr>
          <w:rFonts w:ascii="Arial" w:cs="Arial" w:eastAsia="Arial" w:hAnsi="Arial"/>
          <w:color w:val="2C3E50"/>
          <w:sz w:val="20"/>
          <w:szCs w:val="20"/>
        </w:rPr>
        <w:t xml:space="preserve">The full test set is run against the base model before any fine-tuning to establish a baseline. The same test set is then run against each fine-tuned model checkpoint. The delta between baseline and fine-tuned scores is the primary evidence of whether fine-tuning delivered value.</w:t>
      </w:r>
    </w:p>
    <w:p>
      <w:pPr>
        <w:spacing w:after="120"/>
      </w:pPr>
      <w:r>
        <w:rPr>
          <w:rFonts w:ascii="Arial" w:cs="Arial" w:eastAsia="Arial" w:hAnsi="Arial"/>
          <w:b/>
          <w:bCs/>
          <w:color w:val="2C3E50"/>
          <w:sz w:val="20"/>
          <w:szCs w:val="20"/>
        </w:rPr>
        <w:t xml:space="preserve">Maintenance: </w:t>
      </w:r>
      <w:r>
        <w:rPr>
          <w:rFonts w:ascii="Arial" w:cs="Arial" w:eastAsia="Arial" w:hAnsi="Arial"/>
          <w:color w:val="2C3E50"/>
          <w:sz w:val="20"/>
          <w:szCs w:val="20"/>
        </w:rPr>
        <w:t xml:space="preserve">The test set should be expanded when new question categories or data sources are added. Test set entries should never be modified to match model output — if the model gets an answer wrong, the test set is assumed correct unless a data error is identified.</w:t>
      </w:r>
    </w:p>
    <w:p>
      <w:pPr>
        <w:pStyle w:val="Heading2"/>
        <w:spacing w:after="120" w:before="240"/>
      </w:pPr>
      <w:r>
        <w:rPr>
          <w:rFonts w:ascii="Arial" w:cs="Arial" w:eastAsia="Arial" w:hAnsi="Arial"/>
          <w:b/>
          <w:bCs/>
          <w:color w:val="2E86C1"/>
          <w:sz w:val="26"/>
          <w:szCs w:val="26"/>
        </w:rPr>
        <w:t xml:space="preserve">6.2 Layer 2: RAGAS (Retrieval-Augmented Generation Assessment)</w:t>
      </w:r>
    </w:p>
    <w:p>
      <w:pPr>
        <w:spacing w:after="120"/>
      </w:pPr>
      <w:r>
        <w:rPr>
          <w:rFonts w:ascii="Arial" w:cs="Arial" w:eastAsia="Arial" w:hAnsi="Arial"/>
          <w:color w:val="2C3E50"/>
          <w:sz w:val="20"/>
          <w:szCs w:val="20"/>
        </w:rPr>
        <w:t xml:space="preserve">RAGAS is an automated evaluation framework that measures RAG pipeline quality across four dimensions. It runs programmatically and produces numeric scores that can be tracked across training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7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Context Precision</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Are the chunks retrieved by the vector search actually relevant to the question? A low score here indicates a retrieval problem, not a model problem.</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Context Recall</w:t>
            </w:r>
          </w:p>
        </w:tc>
        <w:tc>
          <w:tcPr>
            <w:tcW w:type="dxa" w:w="7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Did the retrieval layer find all the chunks needed to fully answer the question? Low recall means the system has the data but is failing to surface it.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Faithfulness</w:t>
            </w:r>
          </w:p>
        </w:tc>
        <w:tc>
          <w:tcPr>
            <w:tcW w:type="dxa" w:w="7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Does the generated answer only use information that appears in the retrieved context? Low faithfulness means the model is hallucinating — injecting information not present in the retrieved chunks.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Answer Relevance</w:t>
            </w:r>
          </w:p>
        </w:tc>
        <w:tc>
          <w:tcPr>
            <w:tcW w:type="dxa" w:w="7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Does the response actually address the question asked? A relevant but unfaithful answer is dangerous; a faithful but irrelevant answer is useless. Both must score well.</w:t>
            </w:r>
          </w:p>
        </w:tc>
      </w:tr>
    </w:tbl>
    <w:p>
      <w:pPr>
        <w:spacing w:after="120"/>
      </w:pPr>
    </w:p>
    <w:p>
      <w:pPr>
        <w:spacing w:after="120"/>
      </w:pPr>
      <w:r>
        <w:rPr>
          <w:rFonts w:ascii="Arial" w:cs="Arial" w:eastAsia="Arial" w:hAnsi="Arial"/>
          <w:color w:val="2C3E50"/>
          <w:sz w:val="20"/>
          <w:szCs w:val="20"/>
        </w:rPr>
        <w:t xml:space="preserve">RAGAS scores will be computed for every evaluation run and tracked over time. A meaningful improvement is defined as a sustained increase of 0.05 or more on any individual metric without regression on the others.</w:t>
      </w:r>
    </w:p>
    <w:p>
      <w:pPr>
        <w:pStyle w:val="Heading2"/>
        <w:spacing w:after="120" w:before="240"/>
      </w:pPr>
      <w:r>
        <w:rPr>
          <w:rFonts w:ascii="Arial" w:cs="Arial" w:eastAsia="Arial" w:hAnsi="Arial"/>
          <w:b/>
          <w:bCs/>
          <w:color w:val="2E86C1"/>
          <w:sz w:val="26"/>
          <w:szCs w:val="26"/>
        </w:rPr>
        <w:t xml:space="preserve">6.3 Layer 3: LLM-as-Judge Evaluation</w:t>
      </w:r>
    </w:p>
    <w:p>
      <w:pPr>
        <w:spacing w:after="120"/>
      </w:pPr>
      <w:r>
        <w:rPr>
          <w:rFonts w:ascii="Arial" w:cs="Arial" w:eastAsia="Arial" w:hAnsi="Arial"/>
          <w:color w:val="2C3E50"/>
          <w:sz w:val="20"/>
          <w:szCs w:val="20"/>
        </w:rPr>
        <w:t xml:space="preserve">An LLM evaluator (Claude) compares the fine-tuned model’s response against the gold standard answer for each test question. This catches semantic equivalence that exact-match and keyword-based metrics miss.</w:t>
      </w:r>
    </w:p>
    <w:p>
      <w:pPr>
        <w:spacing w:after="120"/>
      </w:pPr>
      <w:r>
        <w:rPr>
          <w:rFonts w:ascii="Arial" w:cs="Arial" w:eastAsia="Arial" w:hAnsi="Arial"/>
          <w:color w:val="2C3E50"/>
          <w:sz w:val="20"/>
          <w:szCs w:val="20"/>
        </w:rPr>
        <w:t xml:space="preserve">For each test question, the judge receives the question, the gold standard answer, the model’s generated answer, and the retrieved context. It scores the response on four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Scale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Factual Correctness</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Does the model’s answer contain the same facts as the gold standard answer?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1–5</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Grounding</w:t>
            </w:r>
          </w:p>
        </w:tc>
        <w:tc>
          <w:tcPr>
            <w:tcW w:type="dxa" w:w="5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Does the answer only reference information present in the retrieved context?</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1–5</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Completeness</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Did the answer address all relevant points from the gold standard, or did it miss key information?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1–5</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Refusal Accuracy</w:t>
            </w:r>
          </w:p>
        </w:tc>
        <w:tc>
          <w:tcPr>
            <w:tcW w:type="dxa" w:w="5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For unanswerable questions: did the model correctly decline to answer rather than fabricate a response?</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Pass / Fail</w:t>
            </w:r>
          </w:p>
        </w:tc>
      </w:tr>
    </w:tbl>
    <w:p>
      <w:pPr>
        <w:spacing w:after="120"/>
      </w:pPr>
    </w:p>
    <w:p>
      <w:pPr>
        <w:spacing w:after="120"/>
      </w:pPr>
      <w:r>
        <w:rPr>
          <w:rFonts w:ascii="Arial" w:cs="Arial" w:eastAsia="Arial" w:hAnsi="Arial"/>
          <w:color w:val="2C3E50"/>
          <w:sz w:val="20"/>
          <w:szCs w:val="20"/>
        </w:rPr>
        <w:t xml:space="preserve">The judge also provides free-text reasoning for each score, enabling systematic failure analysis. Evaluation results are aggregated by question category to identify which types of queries benefit most from fine-tuning.</w:t>
      </w:r>
    </w:p>
    <w:p>
      <w:pPr>
        <w:pStyle w:val="Heading2"/>
        <w:spacing w:after="120" w:before="240"/>
      </w:pPr>
      <w:r>
        <w:rPr>
          <w:rFonts w:ascii="Arial" w:cs="Arial" w:eastAsia="Arial" w:hAnsi="Arial"/>
          <w:b/>
          <w:bCs/>
          <w:color w:val="2E86C1"/>
          <w:sz w:val="26"/>
          <w:szCs w:val="26"/>
        </w:rPr>
        <w:t xml:space="preserve">6.4 Failure Analysis Protocol</w:t>
      </w:r>
    </w:p>
    <w:p>
      <w:pPr>
        <w:spacing w:after="120"/>
      </w:pPr>
      <w:r>
        <w:rPr>
          <w:rFonts w:ascii="Arial" w:cs="Arial" w:eastAsia="Arial" w:hAnsi="Arial"/>
          <w:color w:val="2C3E50"/>
          <w:sz w:val="20"/>
          <w:szCs w:val="20"/>
        </w:rPr>
        <w:t xml:space="preserve">Aggregate scores are not sufficient. The team must categorize every incorrect response into a failure mode so that targeted improvements can be made. The following failure taxonomy will be used:</w:t>
      </w:r>
    </w:p>
    <w:p>
      <w:pPr>
        <w:pStyle w:val="ListParagraph"/>
        <w:numPr>
          <w:ilvl w:val="0"/>
          <w:numId w:val="2"/>
        </w:numPr>
        <w:spacing w:after="60"/>
      </w:pPr>
      <w:r>
        <w:rPr>
          <w:rFonts w:ascii="Arial" w:cs="Arial" w:eastAsia="Arial" w:hAnsi="Arial"/>
          <w:b/>
          <w:bCs/>
          <w:color w:val="2C3E50"/>
          <w:sz w:val="20"/>
          <w:szCs w:val="20"/>
        </w:rPr>
        <w:t xml:space="preserve">Hallucination</w:t>
      </w:r>
      <w:r>
        <w:rPr>
          <w:rFonts w:ascii="Arial" w:cs="Arial" w:eastAsia="Arial" w:hAnsi="Arial"/>
          <w:color w:val="2C3E50"/>
          <w:sz w:val="20"/>
          <w:szCs w:val="20"/>
        </w:rPr>
        <w:t xml:space="preserve"> — the model asserts facts not present in the retrieved context.</w:t>
      </w:r>
    </w:p>
    <w:p>
      <w:pPr>
        <w:pStyle w:val="ListParagraph"/>
        <w:numPr>
          <w:ilvl w:val="0"/>
          <w:numId w:val="2"/>
        </w:numPr>
        <w:spacing w:after="60"/>
      </w:pPr>
      <w:r>
        <w:rPr>
          <w:rFonts w:ascii="Arial" w:cs="Arial" w:eastAsia="Arial" w:hAnsi="Arial"/>
          <w:b/>
          <w:bCs/>
          <w:color w:val="2C3E50"/>
          <w:sz w:val="20"/>
          <w:szCs w:val="20"/>
        </w:rPr>
        <w:t xml:space="preserve">Retrieval Miss</w:t>
      </w:r>
      <w:r>
        <w:rPr>
          <w:rFonts w:ascii="Arial" w:cs="Arial" w:eastAsia="Arial" w:hAnsi="Arial"/>
          <w:color w:val="2C3E50"/>
          <w:sz w:val="20"/>
          <w:szCs w:val="20"/>
        </w:rPr>
        <w:t xml:space="preserve"> — the correct information exists in the corpus but was not retrieved.</w:t>
      </w:r>
    </w:p>
    <w:p>
      <w:pPr>
        <w:pStyle w:val="ListParagraph"/>
        <w:numPr>
          <w:ilvl w:val="0"/>
          <w:numId w:val="2"/>
        </w:numPr>
        <w:spacing w:after="60"/>
      </w:pPr>
      <w:r>
        <w:rPr>
          <w:rFonts w:ascii="Arial" w:cs="Arial" w:eastAsia="Arial" w:hAnsi="Arial"/>
          <w:b/>
          <w:bCs/>
          <w:color w:val="2C3E50"/>
          <w:sz w:val="20"/>
          <w:szCs w:val="20"/>
        </w:rPr>
        <w:t xml:space="preserve">Misinterpretation</w:t>
      </w:r>
      <w:r>
        <w:rPr>
          <w:rFonts w:ascii="Arial" w:cs="Arial" w:eastAsia="Arial" w:hAnsi="Arial"/>
          <w:color w:val="2C3E50"/>
          <w:sz w:val="20"/>
          <w:szCs w:val="20"/>
        </w:rPr>
        <w:t xml:space="preserve"> — the correct context was retrieved but the model drew incorrect conclusions from it.</w:t>
      </w:r>
    </w:p>
    <w:p>
      <w:pPr>
        <w:pStyle w:val="ListParagraph"/>
        <w:numPr>
          <w:ilvl w:val="0"/>
          <w:numId w:val="2"/>
        </w:numPr>
        <w:spacing w:after="60"/>
      </w:pPr>
      <w:r>
        <w:rPr>
          <w:rFonts w:ascii="Arial" w:cs="Arial" w:eastAsia="Arial" w:hAnsi="Arial"/>
          <w:b/>
          <w:bCs/>
          <w:color w:val="2C3E50"/>
          <w:sz w:val="20"/>
          <w:szCs w:val="20"/>
        </w:rPr>
        <w:t xml:space="preserve">Incomplete Response</w:t>
      </w:r>
      <w:r>
        <w:rPr>
          <w:rFonts w:ascii="Arial" w:cs="Arial" w:eastAsia="Arial" w:hAnsi="Arial"/>
          <w:color w:val="2C3E50"/>
          <w:sz w:val="20"/>
          <w:szCs w:val="20"/>
        </w:rPr>
        <w:t xml:space="preserve"> — the answer is correct but omits important information present in the context.</w:t>
      </w:r>
    </w:p>
    <w:p>
      <w:pPr>
        <w:pStyle w:val="ListParagraph"/>
        <w:numPr>
          <w:ilvl w:val="0"/>
          <w:numId w:val="2"/>
        </w:numPr>
        <w:spacing w:after="60"/>
      </w:pPr>
      <w:r>
        <w:rPr>
          <w:rFonts w:ascii="Arial" w:cs="Arial" w:eastAsia="Arial" w:hAnsi="Arial"/>
          <w:b/>
          <w:bCs/>
          <w:color w:val="2C3E50"/>
          <w:sz w:val="20"/>
          <w:szCs w:val="20"/>
        </w:rPr>
        <w:t xml:space="preserve">False Refusal</w:t>
      </w:r>
      <w:r>
        <w:rPr>
          <w:rFonts w:ascii="Arial" w:cs="Arial" w:eastAsia="Arial" w:hAnsi="Arial"/>
          <w:color w:val="2C3E50"/>
          <w:sz w:val="20"/>
          <w:szCs w:val="20"/>
        </w:rPr>
        <w:t xml:space="preserve"> — the model refuses to answer a question that is answerable from the available context.</w:t>
      </w:r>
    </w:p>
    <w:p>
      <w:pPr>
        <w:pStyle w:val="ListParagraph"/>
        <w:numPr>
          <w:ilvl w:val="0"/>
          <w:numId w:val="2"/>
        </w:numPr>
        <w:spacing w:after="60"/>
      </w:pPr>
      <w:r>
        <w:rPr>
          <w:rFonts w:ascii="Arial" w:cs="Arial" w:eastAsia="Arial" w:hAnsi="Arial"/>
          <w:b/>
          <w:bCs/>
          <w:color w:val="2C3E50"/>
          <w:sz w:val="20"/>
          <w:szCs w:val="20"/>
        </w:rPr>
        <w:t xml:space="preserve">False Confidence</w:t>
      </w:r>
      <w:r>
        <w:rPr>
          <w:rFonts w:ascii="Arial" w:cs="Arial" w:eastAsia="Arial" w:hAnsi="Arial"/>
          <w:color w:val="2C3E50"/>
          <w:sz w:val="20"/>
          <w:szCs w:val="20"/>
        </w:rPr>
        <w:t xml:space="preserve"> — the model provides a confident answer to an unanswerable question instead of declining.</w:t>
      </w:r>
    </w:p>
    <w:p>
      <w:pPr>
        <w:spacing w:after="120"/>
      </w:pPr>
      <w:r>
        <w:rPr>
          <w:rFonts w:ascii="Arial" w:cs="Arial" w:eastAsia="Arial" w:hAnsi="Arial"/>
          <w:color w:val="2C3E50"/>
          <w:sz w:val="20"/>
          <w:szCs w:val="20"/>
        </w:rPr>
        <w:t xml:space="preserve">Each failure mode maps to a different corrective action (more training data, better chunking, retrieval tuning, prompt engineering, or model architecture changes). The failure distribution is a key output of each evaluation cycle.</w:t>
      </w:r>
    </w:p>
    <w:p>
      <w:pPr>
        <w:pBdr>
          <w:bottom w:val="single" w:color="2E86C1" w:sz="4" w:space="1"/>
        </w:pBdr>
        <w:spacing w:after="200" w:before="200"/>
      </w:pPr>
    </w:p>
    <w:p>
      <w:pPr>
        <w:pStyle w:val="Heading1"/>
        <w:spacing w:after="200" w:before="360"/>
      </w:pPr>
      <w:r>
        <w:rPr>
          <w:rFonts w:ascii="Arial" w:cs="Arial" w:eastAsia="Arial" w:hAnsi="Arial"/>
          <w:b/>
          <w:bCs/>
          <w:color w:val="1B4F72"/>
          <w:sz w:val="32"/>
          <w:szCs w:val="32"/>
        </w:rPr>
        <w:t xml:space="preserve">7. Delivery Phases &amp; Milestones</w:t>
      </w:r>
    </w:p>
    <w:p>
      <w:pPr>
        <w:pStyle w:val="Heading2"/>
        <w:spacing w:after="120" w:before="240"/>
      </w:pPr>
      <w:r>
        <w:rPr>
          <w:rFonts w:ascii="Arial" w:cs="Arial" w:eastAsia="Arial" w:hAnsi="Arial"/>
          <w:b/>
          <w:bCs/>
          <w:color w:val="2E86C1"/>
          <w:sz w:val="26"/>
          <w:szCs w:val="26"/>
        </w:rPr>
        <w:t xml:space="preserve">Phase 1: Data Foundation</w:t>
      </w:r>
    </w:p>
    <w:p>
      <w:pPr>
        <w:spacing w:after="120"/>
      </w:pPr>
      <w:r>
        <w:rPr>
          <w:rFonts w:ascii="Arial" w:cs="Arial" w:eastAsia="Arial" w:hAnsi="Arial"/>
          <w:color w:val="2C3E50"/>
          <w:sz w:val="20"/>
          <w:szCs w:val="20"/>
        </w:rPr>
        <w:t xml:space="preserve">Build the ingestion pipeline that acquires, normalizes, and indexes the source datasets. Validate retrieval quality with manual similarity searches. This phase establishes the data infrastructure that all subsequent work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Data ingestion pipeline</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Canadian OFF subset fully ingested, deduplicated, and normalized</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 weeks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Embedding generation</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All product records embedded and stored in vector database</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Included above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Retrieval validation</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Manual testing confirms relevant products returned for 20+ sample queries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Included above</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Vector store evaluation</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At least two vector stores compared with documented tradeoff analysis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Included above</w:t>
            </w:r>
          </w:p>
        </w:tc>
      </w:tr>
    </w:tbl>
    <w:p>
      <w:pPr>
        <w:spacing w:after="120"/>
      </w:pPr>
    </w:p>
    <w:p>
      <w:pPr>
        <w:pStyle w:val="Heading2"/>
        <w:spacing w:after="120" w:before="240"/>
      </w:pPr>
      <w:r>
        <w:rPr>
          <w:rFonts w:ascii="Arial" w:cs="Arial" w:eastAsia="Arial" w:hAnsi="Arial"/>
          <w:b/>
          <w:bCs/>
          <w:color w:val="2E86C1"/>
          <w:sz w:val="26"/>
          <w:szCs w:val="26"/>
        </w:rPr>
        <w:t xml:space="preserve">Phase 2: Evaluation Foundation</w:t>
      </w:r>
    </w:p>
    <w:p>
      <w:pPr>
        <w:spacing w:after="120"/>
      </w:pPr>
      <w:r>
        <w:rPr>
          <w:rFonts w:ascii="Arial" w:cs="Arial" w:eastAsia="Arial" w:hAnsi="Arial"/>
          <w:color w:val="2C3E50"/>
          <w:sz w:val="20"/>
          <w:szCs w:val="20"/>
        </w:rPr>
        <w:t xml:space="preserve">Build the gold standard test set and evaluation infrastructure before any training begins. This ensures the team has a clear baseline to measure against and that the evaluation tooling is working before fine-tuning introduces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Gold standard test set</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200–300 verified Q&amp;A pairs stratified across all 5 question categories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 weeks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RAGAS integration</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Automated pipeline computing all 4 RAGAS metrics on the test set</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Included above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LLM-as-judge pipeline</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Claude evaluation prompt tested and producing structured scores with reasoning</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Included above</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Baseline evaluation report</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All metrics computed against base model (pre-fine-tuning) as the reference point</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Included above</w:t>
            </w:r>
          </w:p>
        </w:tc>
      </w:tr>
    </w:tbl>
    <w:p>
      <w:pPr>
        <w:spacing w:after="120"/>
      </w:pPr>
    </w:p>
    <w:p>
      <w:pPr>
        <w:pStyle w:val="Heading2"/>
        <w:spacing w:after="120" w:before="240"/>
      </w:pPr>
      <w:r>
        <w:rPr>
          <w:rFonts w:ascii="Arial" w:cs="Arial" w:eastAsia="Arial" w:hAnsi="Arial"/>
          <w:b/>
          <w:bCs/>
          <w:color w:val="2E86C1"/>
          <w:sz w:val="26"/>
          <w:szCs w:val="26"/>
        </w:rPr>
        <w:t xml:space="preserve">Phase 3: Training Data Generation</w:t>
      </w:r>
    </w:p>
    <w:p>
      <w:pPr>
        <w:spacing w:after="120"/>
      </w:pPr>
      <w:r>
        <w:rPr>
          <w:rFonts w:ascii="Arial" w:cs="Arial" w:eastAsia="Arial" w:hAnsi="Arial"/>
          <w:color w:val="2C3E50"/>
          <w:sz w:val="20"/>
          <w:szCs w:val="20"/>
        </w:rPr>
        <w:t xml:space="preserve">Generate the synthetic Q&amp;A dataset that will be used to fine-tune the model. This involves designing prompt templates for each question category, generating candidate pairs at scale, and curating the final dataset through quality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Prompt templates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Templates defined for all 5 question categories with seed examples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 week</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Synthetic Q&amp;A dataset</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3,000–5,000 instruction triples generated and stored as versioned JSONL</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 weeks</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Quality review</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Minimum 10% of pairs human-reviewed; quality issues documented and addressed</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Included above</w:t>
            </w:r>
          </w:p>
        </w:tc>
      </w:tr>
    </w:tbl>
    <w:p>
      <w:pPr>
        <w:spacing w:after="120"/>
      </w:pPr>
    </w:p>
    <w:p>
      <w:pPr>
        <w:pStyle w:val="Heading2"/>
        <w:spacing w:after="120" w:before="240"/>
      </w:pPr>
      <w:r>
        <w:rPr>
          <w:rFonts w:ascii="Arial" w:cs="Arial" w:eastAsia="Arial" w:hAnsi="Arial"/>
          <w:b/>
          <w:bCs/>
          <w:color w:val="2E86C1"/>
          <w:sz w:val="26"/>
          <w:szCs w:val="26"/>
        </w:rPr>
        <w:t xml:space="preserve">Phase 4: Model Fine-Tuning</w:t>
      </w:r>
    </w:p>
    <w:p>
      <w:pPr>
        <w:spacing w:after="120"/>
      </w:pPr>
      <w:r>
        <w:rPr>
          <w:rFonts w:ascii="Arial" w:cs="Arial" w:eastAsia="Arial" w:hAnsi="Arial"/>
          <w:color w:val="2C3E50"/>
          <w:sz w:val="20"/>
          <w:szCs w:val="20"/>
        </w:rPr>
        <w:t xml:space="preserve">Fine-tune the base model using Unsloth with the curated training data. Run multiple training experiments to identify optimal hyperparameters. Evaluate each checkpoint against the baseline using the full evaluation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Fine-tuned model (LoRA adapter)</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Model trains successfully on M4 Pro via Unsloth; adapter weights exported</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 weeks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Post-training evaluation report</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All three evaluation layers run; quantitative comparison vs. baseline documented</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Included above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Failure analysis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All incorrect responses categorized by failure mode with distribution analysis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Included above</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Hyperparameter log</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All training runs documented with configs, loss curves, and evaluation results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Included above</w:t>
            </w:r>
          </w:p>
        </w:tc>
      </w:tr>
    </w:tbl>
    <w:p>
      <w:pPr>
        <w:spacing w:after="120"/>
      </w:pPr>
    </w:p>
    <w:p>
      <w:pPr>
        <w:pStyle w:val="Heading2"/>
        <w:spacing w:after="120" w:before="240"/>
      </w:pPr>
      <w:r>
        <w:rPr>
          <w:rFonts w:ascii="Arial" w:cs="Arial" w:eastAsia="Arial" w:hAnsi="Arial"/>
          <w:b/>
          <w:bCs/>
          <w:color w:val="2E86C1"/>
          <w:sz w:val="26"/>
          <w:szCs w:val="26"/>
        </w:rPr>
        <w:t xml:space="preserve">Phase 5: RAG Inference Pipeline</w:t>
      </w:r>
    </w:p>
    <w:p>
      <w:pPr>
        <w:spacing w:after="120"/>
      </w:pPr>
      <w:r>
        <w:rPr>
          <w:rFonts w:ascii="Arial" w:cs="Arial" w:eastAsia="Arial" w:hAnsi="Arial"/>
          <w:color w:val="2C3E50"/>
          <w:sz w:val="20"/>
          <w:szCs w:val="20"/>
        </w:rPr>
        <w:t xml:space="preserve">Build the end-to-end retrieval-augmented generation pipeline that connects a user query to a grounded, cited response. This integrates the data layer (Phase 1) with the fine-tuned model (Phase 4) into a working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RAG pipeline</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Query → retrieve → generate flow working end-to-end locally</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 weeks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API endpoint</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HTTP endpoint accepting queries and returning structured responses with citations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Included above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Integration test suite</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Automated tests covering all 5 question categories with pass/fail assertions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Included above</w:t>
            </w:r>
          </w:p>
        </w:tc>
      </w:tr>
    </w:tbl>
    <w:p>
      <w:pPr>
        <w:spacing w:after="120"/>
      </w:pPr>
    </w:p>
    <w:p>
      <w:pPr>
        <w:pStyle w:val="Heading2"/>
        <w:spacing w:after="120" w:before="240"/>
      </w:pPr>
      <w:r>
        <w:rPr>
          <w:rFonts w:ascii="Arial" w:cs="Arial" w:eastAsia="Arial" w:hAnsi="Arial"/>
          <w:b/>
          <w:bCs/>
          <w:color w:val="2E86C1"/>
          <w:sz w:val="26"/>
          <w:szCs w:val="26"/>
        </w:rPr>
        <w:t xml:space="preserve">Phase 6: Cloud Deployment</w:t>
      </w:r>
    </w:p>
    <w:p>
      <w:pPr>
        <w:spacing w:after="120"/>
      </w:pPr>
      <w:r>
        <w:rPr>
          <w:rFonts w:ascii="Arial" w:cs="Arial" w:eastAsia="Arial" w:hAnsi="Arial"/>
          <w:color w:val="2C3E50"/>
          <w:sz w:val="20"/>
          <w:szCs w:val="20"/>
        </w:rPr>
        <w:t xml:space="preserve">Migrate the serving layer from local development to cloud infrastructure. Implement automation for data refresh and model retraining.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Cloud deployment</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Serving layer running on cloud GPU instance; accessible via API</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 weeks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Retraining automation</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Automated data refresh and retraining trigger with adapter swap</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Included above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Deployment documentation</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Runbook covering setup, configuration, monitoring, and rollback procedures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Included above</w:t>
            </w:r>
          </w:p>
        </w:tc>
      </w:tr>
    </w:tbl>
    <w:p>
      <w:pPr>
        <w:spacing w:after="120"/>
      </w:pPr>
    </w:p>
    <w:p>
      <w:pPr>
        <w:pBdr>
          <w:bottom w:val="single" w:color="2E86C1" w:sz="4" w:space="1"/>
        </w:pBdr>
        <w:spacing w:after="200" w:before="200"/>
      </w:pPr>
    </w:p>
    <w:p>
      <w:pPr>
        <w:pStyle w:val="Heading1"/>
        <w:spacing w:after="200" w:before="360"/>
      </w:pPr>
      <w:r>
        <w:rPr>
          <w:rFonts w:ascii="Arial" w:cs="Arial" w:eastAsia="Arial" w:hAnsi="Arial"/>
          <w:b/>
          <w:bCs/>
          <w:color w:val="1B4F72"/>
          <w:sz w:val="32"/>
          <w:szCs w:val="32"/>
        </w:rPr>
        <w:t xml:space="preserve">8. Architecture Constraints</w:t>
      </w:r>
    </w:p>
    <w:p>
      <w:pPr>
        <w:spacing w:after="120"/>
      </w:pPr>
      <w:r>
        <w:rPr>
          <w:rFonts w:ascii="Arial" w:cs="Arial" w:eastAsia="Arial" w:hAnsi="Arial"/>
          <w:color w:val="2C3E50"/>
          <w:sz w:val="20"/>
          <w:szCs w:val="20"/>
        </w:rPr>
        <w:t xml:space="preserve">The following constraints define the technical boundaries within which the development team should operate.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Pure Python stack</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All components — data pipeline, training, evaluation, and serving — will be implemented in Python. This eliminates cross-language complexity and allows the team to focus on fine-tuning and evaluation methodology.</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Unsloth for fine-tuning</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Unsloth provides optimized QLoRA training with significantly reduced memory overhead compared to vanilla HuggingFace. It is the designated fine-tuning framework for this project.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Local-first development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All development, training, and initial evaluation must run on Apple Silicon M4 Pro (48GB unified memory). Cloud is for deployment only.</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Parameter-efficient fine-tuning only</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Use QLoRA exclusively. Full fine-tuning is out of scope due to hardware constraints.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Model size: 7–8B parameters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Larger models exceed local fine-tuning capacity. Smaller models lack the reasoning capability needed for comparative Q&amp;A.</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Evaluation before training</w:t>
            </w:r>
          </w:p>
        </w:tc>
        <w:tc>
          <w:tcPr>
            <w:tcW w:type="dxa" w:w="6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The evaluation framework and baseline metrics must be established before any fine-tuning begins. Training without a baseline is not permitted.</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Vector store evaluation required</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The team must evaluate at least two vector storage options and document the tradeoffs before committing to one.</w:t>
            </w:r>
          </w:p>
        </w:tc>
      </w:tr>
    </w:tbl>
    <w:p>
      <w:pPr>
        <w:spacing w:after="120"/>
      </w:pPr>
    </w:p>
    <w:p>
      <w:pPr>
        <w:pBdr>
          <w:bottom w:val="single" w:color="2E86C1" w:sz="4" w:space="1"/>
        </w:pBdr>
        <w:spacing w:after="200" w:before="200"/>
      </w:pPr>
    </w:p>
    <w:p>
      <w:pPr>
        <w:pStyle w:val="Heading1"/>
        <w:spacing w:after="200" w:before="360"/>
      </w:pPr>
      <w:r>
        <w:rPr>
          <w:rFonts w:ascii="Arial" w:cs="Arial" w:eastAsia="Arial" w:hAnsi="Arial"/>
          <w:b/>
          <w:bCs/>
          <w:color w:val="1B4F72"/>
          <w:sz w:val="32"/>
          <w:szCs w:val="32"/>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4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Training data quality insufficient for meaningful fine-tuning improvement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E74C3C"/>
                <w:sz w:val="20"/>
                <w:szCs w:val="20"/>
              </w:rPr>
              <w:t xml:space="preserve">High</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E67E22"/>
                <w:sz w:val="20"/>
                <w:szCs w:val="20"/>
              </w:rPr>
              <w:t xml:space="preserve">Medium</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Human review 10% of synthetic data. Run baseline evaluation before fine-tuning to establish clear comparison point. Iterate on prompt templates if quality is low.</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M4 Pro memory insufficient for Unsloth training with chosen model + dataset size</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E67E22"/>
                <w:sz w:val="20"/>
                <w:szCs w:val="20"/>
              </w:rPr>
              <w:t xml:space="preserve">Medium</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Low</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Start with smallest viable model (Mistral 7B). Use aggressive quantization (4-bit QLoRA). Reduce batch size and sequence length if needed. Unsloth is specifically optimized for low-memory environments.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Open Food Facts Canadian data too sparse or inconsistent for meaningful retrieval</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E67E22"/>
                <w:sz w:val="20"/>
                <w:szCs w:val="20"/>
              </w:rPr>
              <w:t xml:space="preserve">Medium</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E67E22"/>
                <w:sz w:val="20"/>
                <w:szCs w:val="20"/>
              </w:rPr>
              <w:t xml:space="preserve">Medium</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Supplement with USDA FoodData Central. Build enrichment pipeline early in Phase 1 to identify and fill gaps before training data generation.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Fine-tuned model learns confident-sounding but ungrounded responses</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E74C3C"/>
                <w:sz w:val="20"/>
                <w:szCs w:val="20"/>
              </w:rPr>
              <w:t xml:space="preserve">High</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E67E22"/>
                <w:sz w:val="20"/>
                <w:szCs w:val="20"/>
              </w:rPr>
              <w:t xml:space="preserve">Medium</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Include 15–20% unanswerable queries in training data. Build hallucination-specific evaluation via faithfulness metric and failure analysis. Test with adversarial queries where context contradicts common knowledge.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Gold standard test set contains errors that mislead evaluation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E67E22"/>
                <w:sz w:val="20"/>
                <w:szCs w:val="20"/>
              </w:rPr>
              <w:t xml:space="preserve">Medium</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Low</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Use dual-reviewer process for test set creation. Cross-reference all answers against source data. Flag and investigate any cases where the model consistently disagrees with the test set.</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Evaluation framework itself is unreliable (LLM-as-judge inconsistency)</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E67E22"/>
                <w:sz w:val="20"/>
                <w:szCs w:val="20"/>
              </w:rPr>
              <w:t xml:space="preserve">Medium</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E67E22"/>
                <w:sz w:val="20"/>
                <w:szCs w:val="20"/>
              </w:rPr>
              <w:t xml:space="preserve">Medium</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Validate judge consistency by scoring the same responses multiple times and checking variance. Calibrate the judge prompt on known-good and known-bad examples before production use.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Cloud GPU costs exceed budget for a learning project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Low</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E67E22"/>
                <w:sz w:val="20"/>
                <w:szCs w:val="20"/>
              </w:rPr>
              <w:t xml:space="preserve">Medium</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Use spot/preemptible instances. Keep cloud deployment minimal. Evaluate serverless GPU options.</w:t>
            </w:r>
          </w:p>
        </w:tc>
      </w:tr>
    </w:tbl>
    <w:p>
      <w:pPr>
        <w:spacing w:after="120"/>
      </w:pPr>
    </w:p>
    <w:p>
      <w:pPr>
        <w:pBdr>
          <w:bottom w:val="single" w:color="2E86C1" w:sz="4" w:space="1"/>
        </w:pBdr>
        <w:spacing w:after="200" w:before="200"/>
      </w:pPr>
    </w:p>
    <w:p>
      <w:pPr>
        <w:pStyle w:val="Heading1"/>
        <w:spacing w:after="200" w:before="360"/>
      </w:pPr>
      <w:r>
        <w:rPr>
          <w:rFonts w:ascii="Arial" w:cs="Arial" w:eastAsia="Arial" w:hAnsi="Arial"/>
          <w:b/>
          <w:bCs/>
          <w:color w:val="1B4F72"/>
          <w:sz w:val="32"/>
          <w:szCs w:val="32"/>
        </w:rPr>
        <w:t xml:space="preserve">10. Success Criteria</w:t>
      </w:r>
    </w:p>
    <w:p>
      <w:pPr>
        <w:spacing w:after="120"/>
      </w:pPr>
      <w:r>
        <w:rPr>
          <w:rFonts w:ascii="Arial" w:cs="Arial" w:eastAsia="Arial" w:hAnsi="Arial"/>
          <w:color w:val="2C3E50"/>
          <w:sz w:val="20"/>
          <w:szCs w:val="20"/>
        </w:rPr>
        <w:t xml:space="preserve">The project will be considered successful if the following criteria are met:</w:t>
      </w:r>
    </w:p>
    <w:p>
      <w:pPr>
        <w:pStyle w:val="ListParagraph"/>
        <w:numPr>
          <w:ilvl w:val="0"/>
          <w:numId w:val="2"/>
        </w:numPr>
        <w:spacing w:after="60"/>
      </w:pPr>
      <w:r>
        <w:rPr>
          <w:rFonts w:ascii="Arial" w:cs="Arial" w:eastAsia="Arial" w:hAnsi="Arial"/>
          <w:color w:val="2C3E50"/>
          <w:sz w:val="20"/>
          <w:szCs w:val="20"/>
        </w:rPr>
        <w:t xml:space="preserve">The fine-tuned model demonstrates a statistically meaningful improvement over the base model on the gold standard test set, with at least a 10% increase in average factual correctness score.</w:t>
      </w:r>
    </w:p>
    <w:p>
      <w:pPr>
        <w:pStyle w:val="ListParagraph"/>
        <w:numPr>
          <w:ilvl w:val="0"/>
          <w:numId w:val="2"/>
        </w:numPr>
        <w:spacing w:after="60"/>
      </w:pPr>
      <w:r>
        <w:rPr>
          <w:rFonts w:ascii="Arial" w:cs="Arial" w:eastAsia="Arial" w:hAnsi="Arial"/>
          <w:color w:val="2C3E50"/>
          <w:sz w:val="20"/>
          <w:szCs w:val="20"/>
        </w:rPr>
        <w:t xml:space="preserve">RAGAS faithfulness score exceeds 0.80 (out of 1.0), indicating the model consistently grounds its answers in retrieved context rather than hallucinating.</w:t>
      </w:r>
    </w:p>
    <w:p>
      <w:pPr>
        <w:pStyle w:val="ListParagraph"/>
        <w:numPr>
          <w:ilvl w:val="0"/>
          <w:numId w:val="2"/>
        </w:numPr>
        <w:spacing w:after="60"/>
      </w:pPr>
      <w:r>
        <w:rPr>
          <w:rFonts w:ascii="Arial" w:cs="Arial" w:eastAsia="Arial" w:hAnsi="Arial"/>
          <w:color w:val="2C3E50"/>
          <w:sz w:val="20"/>
          <w:szCs w:val="20"/>
        </w:rPr>
        <w:t xml:space="preserve">The system correctly declines to answer (rather than hallucinating) on at least 80% of intentionally unanswerable test queries, as measured by the refusal accuracy metric.</w:t>
      </w:r>
    </w:p>
    <w:p>
      <w:pPr>
        <w:pStyle w:val="ListParagraph"/>
        <w:numPr>
          <w:ilvl w:val="0"/>
          <w:numId w:val="2"/>
        </w:numPr>
        <w:spacing w:after="60"/>
      </w:pPr>
      <w:r>
        <w:rPr>
          <w:rFonts w:ascii="Arial" w:cs="Arial" w:eastAsia="Arial" w:hAnsi="Arial"/>
          <w:color w:val="2C3E50"/>
          <w:sz w:val="20"/>
          <w:szCs w:val="20"/>
        </w:rPr>
        <w:t xml:space="preserve">RAGAS context precision and context recall both exceed 0.75, confirming the retrieval layer is surfacing relevant and complete information.</w:t>
      </w:r>
    </w:p>
    <w:p>
      <w:pPr>
        <w:pStyle w:val="ListParagraph"/>
        <w:numPr>
          <w:ilvl w:val="0"/>
          <w:numId w:val="2"/>
        </w:numPr>
        <w:spacing w:after="60"/>
      </w:pPr>
      <w:r>
        <w:rPr>
          <w:rFonts w:ascii="Arial" w:cs="Arial" w:eastAsia="Arial" w:hAnsi="Arial"/>
          <w:color w:val="2C3E50"/>
          <w:sz w:val="20"/>
          <w:szCs w:val="20"/>
        </w:rPr>
        <w:t xml:space="preserve">The LLM-as-judge evaluation shows an average grounding score of 4.0 or higher (out of 5.0) across all answerable test questions.</w:t>
      </w:r>
    </w:p>
    <w:p>
      <w:pPr>
        <w:pStyle w:val="ListParagraph"/>
        <w:numPr>
          <w:ilvl w:val="0"/>
          <w:numId w:val="2"/>
        </w:numPr>
        <w:spacing w:after="60"/>
      </w:pPr>
      <w:r>
        <w:rPr>
          <w:rFonts w:ascii="Arial" w:cs="Arial" w:eastAsia="Arial" w:hAnsi="Arial"/>
          <w:color w:val="2C3E50"/>
          <w:sz w:val="20"/>
          <w:szCs w:val="20"/>
        </w:rPr>
        <w:t xml:space="preserve">Failure analysis produces a categorized distribution of error types with clear corrective actions identified for each.</w:t>
      </w:r>
    </w:p>
    <w:p>
      <w:pPr>
        <w:pStyle w:val="ListParagraph"/>
        <w:numPr>
          <w:ilvl w:val="0"/>
          <w:numId w:val="2"/>
        </w:numPr>
        <w:spacing w:after="60"/>
      </w:pPr>
      <w:r>
        <w:rPr>
          <w:rFonts w:ascii="Arial" w:cs="Arial" w:eastAsia="Arial" w:hAnsi="Arial"/>
          <w:color w:val="2C3E50"/>
          <w:sz w:val="20"/>
          <w:szCs w:val="20"/>
        </w:rPr>
        <w:t xml:space="preserve">The RAG inference pipeline returns grounded, cited responses with average latency under 5 seconds locally or under 3 seconds in the cloud environment.</w:t>
      </w:r>
    </w:p>
    <w:p>
      <w:pPr>
        <w:pStyle w:val="ListParagraph"/>
        <w:numPr>
          <w:ilvl w:val="0"/>
          <w:numId w:val="2"/>
        </w:numPr>
        <w:spacing w:after="60"/>
      </w:pPr>
      <w:r>
        <w:rPr>
          <w:rFonts w:ascii="Arial" w:cs="Arial" w:eastAsia="Arial" w:hAnsi="Arial"/>
          <w:color w:val="2C3E50"/>
          <w:sz w:val="20"/>
          <w:szCs w:val="20"/>
        </w:rPr>
        <w:t xml:space="preserve">The vector store evaluation produces a documented comparison with clear recommendation and supporting evidence.</w:t>
      </w:r>
    </w:p>
    <w:p>
      <w:pPr>
        <w:pStyle w:val="ListParagraph"/>
        <w:numPr>
          <w:ilvl w:val="0"/>
          <w:numId w:val="2"/>
        </w:numPr>
        <w:spacing w:after="60"/>
      </w:pPr>
      <w:r>
        <w:rPr>
          <w:rFonts w:ascii="Arial" w:cs="Arial" w:eastAsia="Arial" w:hAnsi="Arial"/>
          <w:color w:val="2C3E50"/>
          <w:sz w:val="20"/>
          <w:szCs w:val="20"/>
        </w:rPr>
        <w:t xml:space="preserve">All architecture decisions, training experiments, and evaluation results are documented in a format suitable for reference in future projects.</w:t>
      </w:r>
    </w:p>
    <w:p>
      <w:pPr>
        <w:pBdr>
          <w:bottom w:val="single" w:color="2E86C1" w:sz="4" w:space="1"/>
        </w:pBdr>
        <w:spacing w:after="200" w:before="200"/>
      </w:pPr>
    </w:p>
    <w:p>
      <w:pPr>
        <w:pStyle w:val="Heading1"/>
        <w:spacing w:after="200" w:before="360"/>
      </w:pPr>
      <w:r>
        <w:rPr>
          <w:rFonts w:ascii="Arial" w:cs="Arial" w:eastAsia="Arial" w:hAnsi="Arial"/>
          <w:b/>
          <w:bCs/>
          <w:color w:val="1B4F72"/>
          <w:sz w:val="32"/>
          <w:szCs w:val="32"/>
        </w:rPr>
        <w:t xml:space="preserve">11. Estimated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80"/>
        <w:gridCol w:w="3880"/>
      </w:tblGrid>
      <w:tr>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0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8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Phase 1</w:t>
            </w:r>
          </w:p>
        </w:tc>
        <w:tc>
          <w:tcPr>
            <w:tcW w:type="dxa" w:w="40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Data Foundation — ingestion, normalization, embedding, retrieval validation, vector store comparison</w:t>
            </w:r>
          </w:p>
        </w:tc>
        <w:tc>
          <w:tcPr>
            <w:tcW w:type="dxa" w:w="38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 weeks</w:t>
            </w:r>
          </w:p>
        </w:tc>
      </w:tr>
      <w:tr>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Phase 2</w:t>
            </w:r>
          </w:p>
        </w:tc>
        <w:tc>
          <w:tcPr>
            <w:tcW w:type="dxa" w:w="40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Evaluation Foundation — gold standard test set, RAGAS integration, LLM-as-judge setup, baseline measurement</w:t>
            </w:r>
          </w:p>
        </w:tc>
        <w:tc>
          <w:tcPr>
            <w:tcW w:type="dxa" w:w="38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 weeks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Phase 3</w:t>
            </w:r>
          </w:p>
        </w:tc>
        <w:tc>
          <w:tcPr>
            <w:tcW w:type="dxa" w:w="40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Training Data — prompt design, synthetic generation, quality review</w:t>
            </w:r>
          </w:p>
        </w:tc>
        <w:tc>
          <w:tcPr>
            <w:tcW w:type="dxa" w:w="38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2–3 weeks</w:t>
            </w:r>
          </w:p>
        </w:tc>
      </w:tr>
      <w:tr>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Phase 4</w:t>
            </w:r>
          </w:p>
        </w:tc>
        <w:tc>
          <w:tcPr>
            <w:tcW w:type="dxa" w:w="40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Fine-Tuning — Unsloth QLoRA training, evaluation against baseline, failure analysis, hyperparameter tuning</w:t>
            </w:r>
          </w:p>
        </w:tc>
        <w:tc>
          <w:tcPr>
            <w:tcW w:type="dxa" w:w="38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 weeks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Phase 5</w:t>
            </w:r>
          </w:p>
        </w:tc>
        <w:tc>
          <w:tcPr>
            <w:tcW w:type="dxa" w:w="40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RAG Pipeline — end-to-end inference, API endpoint, integration tests</w:t>
            </w:r>
          </w:p>
        </w:tc>
        <w:tc>
          <w:tcPr>
            <w:tcW w:type="dxa" w:w="38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 weeks</w:t>
            </w:r>
          </w:p>
        </w:tc>
      </w:tr>
      <w:tr>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Phase 6</w:t>
            </w:r>
          </w:p>
        </w:tc>
        <w:tc>
          <w:tcPr>
            <w:tcW w:type="dxa" w:w="40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Cloud Deployment — infrastructure, retraining automation, documentation</w:t>
            </w:r>
          </w:p>
        </w:tc>
        <w:tc>
          <w:tcPr>
            <w:tcW w:type="dxa" w:w="38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 weeks</w:t>
            </w:r>
          </w:p>
        </w:tc>
      </w:tr>
      <w:tr>
        <w:tc>
          <w:tcPr>
            <w:tcW w:type="dxa" w:w="1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Total</w:t>
            </w:r>
          </w:p>
        </w:tc>
        <w:tc>
          <w:tcPr>
            <w:tcW w:type="dxa" w:w="40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sz w:val="20"/>
                <w:szCs w:val="20"/>
              </w:rPr>
              <w:t xml:space="preserve"/>
            </w:r>
          </w:p>
        </w:tc>
        <w:tc>
          <w:tcPr>
            <w:tcW w:type="dxa" w:w="38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B4F72"/>
                <w:sz w:val="20"/>
                <w:szCs w:val="20"/>
              </w:rPr>
              <w:t xml:space="preserve">7–13 weeks</w:t>
            </w:r>
          </w:p>
        </w:tc>
      </w:tr>
    </w:tbl>
    <w:p>
      <w:pPr>
        <w:spacing w:after="120"/>
      </w:pPr>
    </w:p>
    <w:p>
      <w:pPr>
        <w:spacing w:after="120"/>
      </w:pPr>
      <w:r>
        <w:rPr>
          <w:rFonts w:ascii="Arial" w:cs="Arial" w:eastAsia="Arial" w:hAnsi="Arial"/>
          <w:color w:val="2C3E50"/>
          <w:sz w:val="20"/>
          <w:szCs w:val="20"/>
        </w:rPr>
        <w:t xml:space="preserve">Note: This is a learning-focused R&amp;D project. Timelines assume part-time allocation alongside client delivery work. Phases may overlap where dependencies allow.</w:t>
      </w:r>
    </w:p>
    <w:p>
      <w:pPr>
        <w:pBdr>
          <w:bottom w:val="single" w:color="2E86C1" w:sz="4" w:space="1"/>
        </w:pBdr>
        <w:spacing w:after="200" w:before="200"/>
      </w:pPr>
    </w:p>
    <w:p>
      <w:pPr>
        <w:pStyle w:val="Heading1"/>
        <w:spacing w:after="200" w:before="360"/>
      </w:pPr>
      <w:r>
        <w:rPr>
          <w:rFonts w:ascii="Arial" w:cs="Arial" w:eastAsia="Arial" w:hAnsi="Arial"/>
          <w:b/>
          <w:bCs/>
          <w:color w:val="1B4F72"/>
          <w:sz w:val="32"/>
          <w:szCs w:val="32"/>
        </w:rPr>
        <w:t xml:space="preserve">12. Assumptions &amp; Dependencies</w:t>
      </w:r>
    </w:p>
    <w:p>
      <w:pPr>
        <w:pStyle w:val="ListParagraph"/>
        <w:numPr>
          <w:ilvl w:val="0"/>
          <w:numId w:val="2"/>
        </w:numPr>
        <w:spacing w:after="60"/>
      </w:pPr>
      <w:r>
        <w:rPr>
          <w:rFonts w:ascii="Arial" w:cs="Arial" w:eastAsia="Arial" w:hAnsi="Arial"/>
          <w:color w:val="2C3E50"/>
          <w:sz w:val="20"/>
          <w:szCs w:val="20"/>
        </w:rPr>
        <w:t xml:space="preserve">The development team has access to an Apple Silicon M4 Pro machine with at least 48GB unified memory for local development and training.</w:t>
      </w:r>
    </w:p>
    <w:p>
      <w:pPr>
        <w:pStyle w:val="ListParagraph"/>
        <w:numPr>
          <w:ilvl w:val="0"/>
          <w:numId w:val="2"/>
        </w:numPr>
        <w:spacing w:after="60"/>
      </w:pPr>
      <w:r>
        <w:rPr>
          <w:rFonts w:ascii="Arial" w:cs="Arial" w:eastAsia="Arial" w:hAnsi="Arial"/>
          <w:color w:val="2C3E50"/>
          <w:sz w:val="20"/>
          <w:szCs w:val="20"/>
        </w:rPr>
        <w:t xml:space="preserve">Unsloth is compatible with Apple Silicon for QLoRA fine-tuning of the target model (Mistral 7B or Llama 3.1 8B). If compatibility issues arise, fallback to HuggingFace PEFT with manual optimization.</w:t>
      </w:r>
    </w:p>
    <w:p>
      <w:pPr>
        <w:pStyle w:val="ListParagraph"/>
        <w:numPr>
          <w:ilvl w:val="0"/>
          <w:numId w:val="2"/>
        </w:numPr>
        <w:spacing w:after="60"/>
      </w:pPr>
      <w:r>
        <w:rPr>
          <w:rFonts w:ascii="Arial" w:cs="Arial" w:eastAsia="Arial" w:hAnsi="Arial"/>
          <w:color w:val="2C3E50"/>
          <w:sz w:val="20"/>
          <w:szCs w:val="20"/>
        </w:rPr>
        <w:t xml:space="preserve">Open Food Facts data is available under its Open Database License and can be used freely for internal R&amp;D.</w:t>
      </w:r>
    </w:p>
    <w:p>
      <w:pPr>
        <w:pStyle w:val="ListParagraph"/>
        <w:numPr>
          <w:ilvl w:val="0"/>
          <w:numId w:val="2"/>
        </w:numPr>
        <w:spacing w:after="60"/>
      </w:pPr>
      <w:r>
        <w:rPr>
          <w:rFonts w:ascii="Arial" w:cs="Arial" w:eastAsia="Arial" w:hAnsi="Arial"/>
          <w:color w:val="2C3E50"/>
          <w:sz w:val="20"/>
          <w:szCs w:val="20"/>
        </w:rPr>
        <w:t xml:space="preserve">Claude API access is available for both synthetic training data generation and LLM-as-judge evaluation (existing Anthropic API subscription).</w:t>
      </w:r>
    </w:p>
    <w:p>
      <w:pPr>
        <w:pStyle w:val="ListParagraph"/>
        <w:numPr>
          <w:ilvl w:val="0"/>
          <w:numId w:val="2"/>
        </w:numPr>
        <w:spacing w:after="60"/>
      </w:pPr>
      <w:r>
        <w:rPr>
          <w:rFonts w:ascii="Arial" w:cs="Arial" w:eastAsia="Arial" w:hAnsi="Arial"/>
          <w:color w:val="2C3E50"/>
          <w:sz w:val="20"/>
          <w:szCs w:val="20"/>
        </w:rPr>
        <w:t xml:space="preserve">A locally-hosted embedding model (e.g., Nomic Embed via Ollama) is available and performant on the target hardware.</w:t>
      </w:r>
    </w:p>
    <w:p>
      <w:pPr>
        <w:pStyle w:val="ListParagraph"/>
        <w:numPr>
          <w:ilvl w:val="0"/>
          <w:numId w:val="2"/>
        </w:numPr>
        <w:spacing w:after="60"/>
      </w:pPr>
      <w:r>
        <w:rPr>
          <w:rFonts w:ascii="Arial" w:cs="Arial" w:eastAsia="Arial" w:hAnsi="Arial"/>
          <w:color w:val="2C3E50"/>
          <w:sz w:val="20"/>
          <w:szCs w:val="20"/>
        </w:rPr>
        <w:t xml:space="preserve">Cloud GPU infrastructure (spot instances or serverless) can be provisioned within a reasonable budget for deployment testing.</w:t>
      </w:r>
    </w:p>
    <w:p>
      <w:pPr>
        <w:pStyle w:val="ListParagraph"/>
        <w:numPr>
          <w:ilvl w:val="0"/>
          <w:numId w:val="2"/>
        </w:numPr>
        <w:spacing w:after="60"/>
      </w:pPr>
      <w:r>
        <w:rPr>
          <w:rFonts w:ascii="Arial" w:cs="Arial" w:eastAsia="Arial" w:hAnsi="Arial"/>
          <w:color w:val="2C3E50"/>
          <w:sz w:val="20"/>
          <w:szCs w:val="20"/>
        </w:rPr>
        <w:t xml:space="preserve">This project is staffed as a part-time internal initiative and does not have a fixed external deadline.</w:t>
      </w:r>
    </w:p>
    <w:p>
      <w:pPr>
        <w:pBdr>
          <w:bottom w:val="single" w:color="2E86C1" w:sz="4" w:space="1"/>
        </w:pBdr>
        <w:spacing w:after="200" w:before="200"/>
      </w:pPr>
    </w:p>
    <w:p>
      <w:pPr>
        <w:pStyle w:val="Heading1"/>
        <w:spacing w:after="200" w:before="360"/>
      </w:pPr>
      <w:r>
        <w:rPr>
          <w:rFonts w:ascii="Arial" w:cs="Arial" w:eastAsia="Arial" w:hAnsi="Arial"/>
          <w:b/>
          <w:bCs/>
          <w:color w:val="1B4F72"/>
          <w:sz w:val="32"/>
          <w:szCs w:val="32"/>
        </w:rPr>
        <w:t xml:space="preserve">13.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3900"/>
      </w:tblGrid>
      <w:tr>
        <w:tc>
          <w:tcPr>
            <w:tcW w:type="dxa" w:w="1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1.0</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March 30, 2026</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Eduard Kakosyan</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Initial project brief (Go/Python hybrid architecture)</w:t>
            </w:r>
          </w:p>
        </w:tc>
      </w:tr>
      <w:tr>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2.0</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March 30, 2026</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Eduard Kakosyan</w:t>
            </w:r>
          </w:p>
        </w:tc>
        <w:tc>
          <w:tcPr>
            <w:tcW w:type="dxa" w:w="3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Revised to pure Python + Unsloth stack; added three-layer evaluation framework with gold standard test set, RAGAS metrics, and LLM-as-judge scoring; added failure analysis protocol; updated phases, risks, and success criteria</w:t>
            </w:r>
          </w:p>
        </w:tc>
      </w:tr>
    </w:tbl>
    <w:p>
      <w:pPr>
        <w:spacing w:after="4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BDC3C7"/>
        <w:sz w:val="16"/>
        <w:szCs w:val="16"/>
      </w:rPr>
      <w:t xml:space="preserve">Confidential — AI-First Consulting Inc. — Page </w:t>
    </w:r>
    <w:r>
      <w:rPr>
        <w:rFonts w:ascii="Arial" w:cs="Arial" w:eastAsia="Arial" w:hAnsi="Arial"/>
        <w:color w:val="BDC3C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tabs>
        <w:tab w:val="right" w:pos="9360"/>
      </w:tabs>
    </w:pPr>
    <w:r>
      <w:rPr>
        <w:rFonts w:ascii="Arial" w:cs="Arial" w:eastAsia="Arial" w:hAnsi="Arial"/>
        <w:i/>
        <w:iCs/>
        <w:color w:val="2E86C1"/>
        <w:sz w:val="16"/>
        <w:szCs w:val="16"/>
      </w:rPr>
      <w:t xml:space="preserve">Food &amp; CPG Product Intelligence Platform	</w:t>
    </w:r>
    <w:r>
      <w:rPr>
        <w:rFonts w:ascii="Arial" w:cs="Arial" w:eastAsia="Arial" w:hAnsi="Arial"/>
        <w:i/>
        <w:iCs/>
        <w:color w:val="2E86C1"/>
        <w:sz w:val="16"/>
        <w:szCs w:val="16"/>
      </w:rPr>
      <w:t xml:space="preserve">AI-First Consulting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2026-03-30T19:26:56.325Z</dcterms:created>
  <dcterms:modified xsi:type="dcterms:W3CDTF">2026-03-30T19:26:56.326Z</dcterms:modified>
</cp:coreProperties>
</file>

<file path=docProps/custom.xml><?xml version="1.0" encoding="utf-8"?>
<Properties xmlns="http://schemas.openxmlformats.org/officeDocument/2006/custom-properties" xmlns:vt="http://schemas.openxmlformats.org/officeDocument/2006/docPropsVTypes"/>
</file>