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Canadian Retail Trends for 2024</w:t>
      </w:r>
    </w:p>
    <w:p>
      <w:r>
        <w:t>As we enter 2024, the Canadian food and beverage landscape continues to evolve. Retailers are adapting to new consumer expectations around value, sustainability, and local sourcing.</w:t>
      </w:r>
    </w:p>
    <w:p>
      <w:r>
        <w:rPr>
          <w:b/>
        </w:rPr>
        <w:t>1. Focus on value</w:t>
      </w:r>
    </w:p>
    <w:p>
      <w:r>
        <w:t>Consumers are increasingly price-conscious. Retailers like Loblaw and Metro are expanding their private label offerings to capture budget-minded shoppers.</w:t>
      </w:r>
    </w:p>
    <w:p>
      <w:r>
        <w:rPr>
          <w:b/>
        </w:rPr>
        <w:t>2. Sustainability matters</w:t>
      </w:r>
    </w:p>
    <w:p>
      <w:r>
        <w:t>Packaging innovation continues to be a priority. Many CPG companies are moving toward recyclable materials and reduced plastic.</w:t>
      </w:r>
    </w:p>
    <w:p>
      <w:r>
        <w:rPr>
          <w:b/>
        </w:rPr>
        <w:t>Peter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