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2E86C1"/>
          <w:spacing w:val="200"/>
          <w:sz w:val="24"/>
          <w:szCs w:val="24"/>
        </w:rPr>
        <w:t xml:space="preserve">PROJECT BRIEF</w:t>
      </w:r>
    </w:p>
    <w:p>
      <w:pPr>
        <w:spacing w:after="120"/>
        <w:jc w:val="center"/>
      </w:pPr>
      <w:r>
        <w:rPr>
          <w:rFonts w:ascii="Arial" w:cs="Arial" w:eastAsia="Arial" w:hAnsi="Arial"/>
          <w:b/>
          <w:bCs/>
          <w:color w:val="1B4F72"/>
          <w:sz w:val="56"/>
          <w:szCs w:val="56"/>
        </w:rPr>
        <w:t xml:space="preserve">Food &amp; CPG Product</w:t>
      </w:r>
    </w:p>
    <w:p>
      <w:pPr>
        <w:spacing w:after="400"/>
        <w:jc w:val="center"/>
      </w:pPr>
      <w:r>
        <w:rPr>
          <w:rFonts w:ascii="Arial" w:cs="Arial" w:eastAsia="Arial" w:hAnsi="Arial"/>
          <w:b/>
          <w:bCs/>
          <w:color w:val="1B4F72"/>
          <w:sz w:val="56"/>
          <w:szCs w:val="56"/>
        </w:rPr>
        <w:t xml:space="preserve">Intelligence Platform</w:t>
      </w:r>
    </w:p>
    <w:p>
      <w:pPr>
        <w:pBdr>
          <w:top w:val="single" w:color="2E86C1" w:sz="4" w:space="8"/>
        </w:pBdr>
        <w:spacing w:after="80"/>
        <w:jc w:val="center"/>
      </w:pPr>
      <w:r>
        <w:rPr>
          <w:rFonts w:ascii="Arial" w:cs="Arial" w:eastAsia="Arial" w:hAnsi="Arial"/>
          <w:color w:val="2C3E50"/>
          <w:sz w:val="24"/>
          <w:szCs w:val="24"/>
        </w:rPr>
        <w:t xml:space="preserve">Domain-Specific Q&amp;A System with Fine-Tuned AI</w:t>
      </w:r>
    </w:p>
    <w:p>
      <w:pPr>
        <w:spacing w:after="120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2E86C1"/>
                <w:sz w:val="20"/>
                <w:szCs w:val="20"/>
              </w:rPr>
              <w:t xml:space="preserve">Owner</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2C3E50"/>
                <w:sz w:val="20"/>
                <w:szCs w:val="20"/>
              </w:rPr>
              <w:t xml:space="preserve">AI-First Consulting Inc.</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2E86C1"/>
                <w:sz w:val="20"/>
                <w:szCs w:val="20"/>
              </w:rPr>
              <w:t xml:space="preserve">Lead</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2C3E50"/>
                <w:sz w:val="20"/>
                <w:szCs w:val="20"/>
              </w:rPr>
              <w:t xml:space="preserve">Eduard Kakosyan</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2E86C1"/>
                <w:sz w:val="20"/>
                <w:szCs w:val="20"/>
              </w:rPr>
              <w:t xml:space="preserve">Classification</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2C3E50"/>
                <w:sz w:val="20"/>
                <w:szCs w:val="20"/>
              </w:rPr>
              <w:t xml:space="preserve">Internal R&amp;D</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2E86C1"/>
                <w:sz w:val="20"/>
                <w:szCs w:val="20"/>
              </w:rPr>
              <w:t xml:space="preserve">Date</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2C3E50"/>
                <w:sz w:val="20"/>
                <w:szCs w:val="20"/>
              </w:rPr>
              <w:t xml:space="preserve">March 30, 2026</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2E86C1"/>
                <w:sz w:val="20"/>
                <w:szCs w:val="20"/>
              </w:rPr>
              <w:t xml:space="preserve">Version</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2C3E50"/>
                <w:sz w:val="20"/>
                <w:szCs w:val="20"/>
              </w:rPr>
              <w:t xml:space="preserve">1.0</w:t>
            </w:r>
          </w:p>
        </w:tc>
      </w:tr>
    </w:tbl>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4F72"/>
          <w:sz w:val="32"/>
          <w:szCs w:val="32"/>
        </w:rPr>
        <w:t xml:space="preserve">1. Executive Summary</w:t>
      </w:r>
    </w:p>
    <w:p>
      <w:pPr>
        <w:spacing w:after="120"/>
      </w:pPr>
      <w:r>
        <w:rPr>
          <w:rFonts w:ascii="Arial" w:cs="Arial" w:eastAsia="Arial" w:hAnsi="Arial"/>
          <w:color w:val="2C3E50"/>
          <w:sz w:val="20"/>
          <w:szCs w:val="20"/>
        </w:rPr>
        <w:t xml:space="preserve">This project brief defines the scope, objectives, and delivery plan for building an internal Food &amp; CPG Product Intelligence Platform. The system will enable users to ask natural-language questions about food products, ingredients, nutritional data, and market trends — and receive accurate, domain-grounded answers powered by a fine-tuned AI model combined with a retrieval-augmented generation (RAG) architecture.</w:t>
      </w:r>
    </w:p>
    <w:p>
      <w:pPr>
        <w:spacing w:after="120"/>
      </w:pPr>
      <w:r>
        <w:rPr>
          <w:rFonts w:ascii="Arial" w:cs="Arial" w:eastAsia="Arial" w:hAnsi="Arial"/>
          <w:color w:val="2C3E50"/>
          <w:sz w:val="20"/>
          <w:szCs w:val="20"/>
        </w:rPr>
        <w:t xml:space="preserve">This is a technical learning and R&amp;D initiative. Its primary purpose is to deepen the team’s expertise in local model fine-tuning, high-performance data pipelines, and hybrid Go/Python system design. The secondary purpose is to produce a demonstrable, domain-specific AI product that can be referenced in future client engagements within the food and CPG sector.</w:t>
      </w:r>
    </w:p>
    <w:p>
      <w:pPr>
        <w:spacing w:after="120"/>
      </w:pPr>
      <w:r>
        <w:rPr>
          <w:rFonts w:ascii="Arial" w:cs="Arial" w:eastAsia="Arial" w:hAnsi="Arial"/>
          <w:color w:val="2C3E50"/>
          <w:sz w:val="20"/>
          <w:szCs w:val="20"/>
        </w:rPr>
        <w:t xml:space="preserve">The platform will be developed locally and deployed to cloud infrastructure, following a phased approach across five delivery milestones.</w:t>
      </w:r>
    </w:p>
    <w:p>
      <w:pPr>
        <w:pBdr>
          <w:bottom w:val="single" w:color="2E86C1" w:sz="4" w:space="1"/>
        </w:pBdr>
        <w:spacing w:after="200" w:before="200"/>
      </w:pPr>
    </w:p>
    <w:p>
      <w:pPr>
        <w:pStyle w:val="Heading1"/>
        <w:spacing w:after="200" w:before="360"/>
      </w:pPr>
      <w:r>
        <w:rPr>
          <w:rFonts w:ascii="Arial" w:cs="Arial" w:eastAsia="Arial" w:hAnsi="Arial"/>
          <w:b/>
          <w:bCs/>
          <w:color w:val="1B4F72"/>
          <w:sz w:val="32"/>
          <w:szCs w:val="32"/>
        </w:rPr>
        <w:t xml:space="preserve">2. Business Context &amp; Strategic Alignment</w:t>
      </w:r>
    </w:p>
    <w:p>
      <w:pPr>
        <w:spacing w:after="120"/>
      </w:pPr>
      <w:r>
        <w:rPr>
          <w:rFonts w:ascii="Arial" w:cs="Arial" w:eastAsia="Arial" w:hAnsi="Arial"/>
          <w:color w:val="2C3E50"/>
          <w:sz w:val="20"/>
          <w:szCs w:val="20"/>
        </w:rPr>
        <w:t xml:space="preserve">AI-First Consulting works with organizations across Atlantic Canada to adopt AI. Several current and prospective clients operate in the food, grocery, and consumer packaged goods sectors. This project addresses two strategic needs:</w:t>
      </w:r>
    </w:p>
    <w:p>
      <w:pPr>
        <w:pStyle w:val="ListParagraph"/>
        <w:numPr>
          <w:ilvl w:val="0"/>
          <w:numId w:val="2"/>
        </w:numPr>
        <w:spacing w:after="60"/>
      </w:pPr>
      <w:r>
        <w:rPr>
          <w:rFonts w:ascii="Arial" w:cs="Arial" w:eastAsia="Arial" w:hAnsi="Arial"/>
          <w:color w:val="2C3E50"/>
          <w:sz w:val="20"/>
          <w:szCs w:val="20"/>
        </w:rPr>
        <w:t xml:space="preserve">Building internal capability in model fine-tuning, data engineering, and hybrid-language system architecture — skills that directly support future client engagements involving custom AI solutions.</w:t>
      </w:r>
    </w:p>
    <w:p>
      <w:pPr>
        <w:pStyle w:val="ListParagraph"/>
        <w:numPr>
          <w:ilvl w:val="0"/>
          <w:numId w:val="2"/>
        </w:numPr>
        <w:spacing w:after="60"/>
      </w:pPr>
      <w:r>
        <w:rPr>
          <w:rFonts w:ascii="Arial" w:cs="Arial" w:eastAsia="Arial" w:hAnsi="Arial"/>
          <w:color w:val="2C3E50"/>
          <w:sz w:val="20"/>
          <w:szCs w:val="20"/>
        </w:rPr>
        <w:t xml:space="preserve">Creating a reference implementation and demo-ready product that showcases domain-specific AI capabilities to food and CPG industry prospects.</w:t>
      </w:r>
    </w:p>
    <w:p>
      <w:pPr>
        <w:spacing w:after="120"/>
      </w:pPr>
      <w:r>
        <w:rPr>
          <w:rFonts w:ascii="Arial" w:cs="Arial" w:eastAsia="Arial" w:hAnsi="Arial"/>
          <w:color w:val="2C3E50"/>
          <w:sz w:val="20"/>
          <w:szCs w:val="20"/>
        </w:rPr>
        <w:t xml:space="preserve">The food and CPG domain was selected because of its rich publicly available data, the complexity of real-world questions industry professionals ask, and the direct relevance to existing client relationships in Atlantic Canada’s food sector.</w:t>
      </w:r>
    </w:p>
    <w:p>
      <w:pPr>
        <w:pBdr>
          <w:bottom w:val="single" w:color="2E86C1" w:sz="4" w:space="1"/>
        </w:pBdr>
        <w:spacing w:after="200" w:before="200"/>
      </w:pPr>
    </w:p>
    <w:p>
      <w:pPr>
        <w:pStyle w:val="Heading1"/>
        <w:spacing w:after="200" w:before="360"/>
      </w:pPr>
      <w:r>
        <w:rPr>
          <w:rFonts w:ascii="Arial" w:cs="Arial" w:eastAsia="Arial" w:hAnsi="Arial"/>
          <w:b/>
          <w:bCs/>
          <w:color w:val="1B4F72"/>
          <w:sz w:val="32"/>
          <w:szCs w:val="32"/>
        </w:rPr>
        <w:t xml:space="preserve">3. Project Objectives</w:t>
      </w:r>
    </w:p>
    <w:p>
      <w:pPr>
        <w:pStyle w:val="Heading2"/>
        <w:spacing w:after="120" w:before="240"/>
      </w:pPr>
      <w:r>
        <w:rPr>
          <w:rFonts w:ascii="Arial" w:cs="Arial" w:eastAsia="Arial" w:hAnsi="Arial"/>
          <w:b/>
          <w:bCs/>
          <w:color w:val="2E86C1"/>
          <w:sz w:val="26"/>
          <w:szCs w:val="26"/>
        </w:rPr>
        <w:t xml:space="preserve">3.1 Primary Objectives</w:t>
      </w:r>
    </w:p>
    <w:p>
      <w:pPr>
        <w:pStyle w:val="ListParagraph"/>
        <w:numPr>
          <w:ilvl w:val="0"/>
          <w:numId w:val="2"/>
        </w:numPr>
        <w:spacing w:after="60"/>
      </w:pPr>
      <w:r>
        <w:rPr>
          <w:rFonts w:ascii="Arial" w:cs="Arial" w:eastAsia="Arial" w:hAnsi="Arial"/>
          <w:color w:val="2C3E50"/>
          <w:sz w:val="20"/>
          <w:szCs w:val="20"/>
        </w:rPr>
        <w:t xml:space="preserve">Build a working Q&amp;A system capable of answering domain-specific questions about food products, ingredients, nutrition, and market trends with cited, grounded responses.</w:t>
      </w:r>
    </w:p>
    <w:p>
      <w:pPr>
        <w:pStyle w:val="ListParagraph"/>
        <w:numPr>
          <w:ilvl w:val="0"/>
          <w:numId w:val="2"/>
        </w:numPr>
        <w:spacing w:after="60"/>
      </w:pPr>
      <w:r>
        <w:rPr>
          <w:rFonts w:ascii="Arial" w:cs="Arial" w:eastAsia="Arial" w:hAnsi="Arial"/>
          <w:color w:val="2C3E50"/>
          <w:sz w:val="20"/>
          <w:szCs w:val="20"/>
        </w:rPr>
        <w:t xml:space="preserve">Fine-tune a large language model on curated, domain-specific training data to improve response quality, terminology accuracy, and grounding behaviour beyond what a general-purpose model provides.</w:t>
      </w:r>
    </w:p>
    <w:p>
      <w:pPr>
        <w:pStyle w:val="ListParagraph"/>
        <w:numPr>
          <w:ilvl w:val="0"/>
          <w:numId w:val="2"/>
        </w:numPr>
        <w:spacing w:after="60"/>
      </w:pPr>
      <w:r>
        <w:rPr>
          <w:rFonts w:ascii="Arial" w:cs="Arial" w:eastAsia="Arial" w:hAnsi="Arial"/>
          <w:color w:val="2C3E50"/>
          <w:sz w:val="20"/>
          <w:szCs w:val="20"/>
        </w:rPr>
        <w:t xml:space="preserve">Design and implement a high-performance data pipeline that ingests, normalizes, and indexes large-scale food product datasets for retrieval at query time.</w:t>
      </w:r>
    </w:p>
    <w:p>
      <w:pPr>
        <w:pStyle w:val="ListParagraph"/>
        <w:numPr>
          <w:ilvl w:val="0"/>
          <w:numId w:val="2"/>
        </w:numPr>
        <w:spacing w:after="60"/>
      </w:pPr>
      <w:r>
        <w:rPr>
          <w:rFonts w:ascii="Arial" w:cs="Arial" w:eastAsia="Arial" w:hAnsi="Arial"/>
          <w:color w:val="2C3E50"/>
          <w:sz w:val="20"/>
          <w:szCs w:val="20"/>
        </w:rPr>
        <w:t xml:space="preserve">Establish a hybrid Go/Python architecture pattern that can be reused across future projects requiring performance-critical data processing combined with ML workloads.</w:t>
      </w:r>
    </w:p>
    <w:p>
      <w:pPr>
        <w:pStyle w:val="Heading2"/>
        <w:spacing w:after="120" w:before="240"/>
      </w:pPr>
      <w:r>
        <w:rPr>
          <w:rFonts w:ascii="Arial" w:cs="Arial" w:eastAsia="Arial" w:hAnsi="Arial"/>
          <w:b/>
          <w:bCs/>
          <w:color w:val="2E86C1"/>
          <w:sz w:val="26"/>
          <w:szCs w:val="26"/>
        </w:rPr>
        <w:t xml:space="preserve">3.2 Learning Objectives</w:t>
      </w:r>
    </w:p>
    <w:p>
      <w:pPr>
        <w:pStyle w:val="ListParagraph"/>
        <w:numPr>
          <w:ilvl w:val="0"/>
          <w:numId w:val="2"/>
        </w:numPr>
        <w:spacing w:after="60"/>
      </w:pPr>
      <w:r>
        <w:rPr>
          <w:rFonts w:ascii="Arial" w:cs="Arial" w:eastAsia="Arial" w:hAnsi="Arial"/>
          <w:color w:val="2C3E50"/>
          <w:sz w:val="20"/>
          <w:szCs w:val="20"/>
        </w:rPr>
        <w:t xml:space="preserve">Gain hands-on experience with QLoRA/LoRA fine-tuning workflows on consumer-grade hardware (Apple Silicon M4 Pro).</w:t>
      </w:r>
    </w:p>
    <w:p>
      <w:pPr>
        <w:pStyle w:val="ListParagraph"/>
        <w:numPr>
          <w:ilvl w:val="0"/>
          <w:numId w:val="2"/>
        </w:numPr>
        <w:spacing w:after="60"/>
      </w:pPr>
      <w:r>
        <w:rPr>
          <w:rFonts w:ascii="Arial" w:cs="Arial" w:eastAsia="Arial" w:hAnsi="Arial"/>
          <w:color w:val="2C3E50"/>
          <w:sz w:val="20"/>
          <w:szCs w:val="20"/>
        </w:rPr>
        <w:t xml:space="preserve">Evaluate and compare vector storage solutions (LanceDB, pgvector) for domain-specific retrieval tasks.</w:t>
      </w:r>
    </w:p>
    <w:p>
      <w:pPr>
        <w:pStyle w:val="ListParagraph"/>
        <w:numPr>
          <w:ilvl w:val="0"/>
          <w:numId w:val="2"/>
        </w:numPr>
        <w:spacing w:after="60"/>
      </w:pPr>
      <w:r>
        <w:rPr>
          <w:rFonts w:ascii="Arial" w:cs="Arial" w:eastAsia="Arial" w:hAnsi="Arial"/>
          <w:color w:val="2C3E50"/>
          <w:sz w:val="20"/>
          <w:szCs w:val="20"/>
        </w:rPr>
        <w:t xml:space="preserve">Develop proficiency in Go-based data pipeline design with Arrow columnar format interoperability.</w:t>
      </w:r>
    </w:p>
    <w:p>
      <w:pPr>
        <w:pStyle w:val="ListParagraph"/>
        <w:numPr>
          <w:ilvl w:val="0"/>
          <w:numId w:val="2"/>
        </w:numPr>
        <w:spacing w:after="60"/>
      </w:pPr>
      <w:r>
        <w:rPr>
          <w:rFonts w:ascii="Arial" w:cs="Arial" w:eastAsia="Arial" w:hAnsi="Arial"/>
          <w:color w:val="2C3E50"/>
          <w:sz w:val="20"/>
          <w:szCs w:val="20"/>
        </w:rPr>
        <w:t xml:space="preserve">Build a repeatable evaluation framework for measuring fine-tuned model quality against baseline models.</w:t>
      </w:r>
    </w:p>
    <w:p>
      <w:pPr>
        <w:pBdr>
          <w:bottom w:val="single" w:color="2E86C1" w:sz="4" w:space="1"/>
        </w:pBdr>
        <w:spacing w:after="200" w:before="200"/>
      </w:pPr>
    </w:p>
    <w:p>
      <w:pPr>
        <w:pStyle w:val="Heading1"/>
        <w:spacing w:after="200" w:before="360"/>
      </w:pPr>
      <w:r>
        <w:rPr>
          <w:rFonts w:ascii="Arial" w:cs="Arial" w:eastAsia="Arial" w:hAnsi="Arial"/>
          <w:b/>
          <w:bCs/>
          <w:color w:val="1B4F72"/>
          <w:sz w:val="32"/>
          <w:szCs w:val="32"/>
        </w:rPr>
        <w:t xml:space="preserve">4. Scope Definition</w:t>
      </w:r>
    </w:p>
    <w:p>
      <w:pPr>
        <w:pStyle w:val="Heading2"/>
        <w:spacing w:after="120" w:before="240"/>
      </w:pPr>
      <w:r>
        <w:rPr>
          <w:rFonts w:ascii="Arial" w:cs="Arial" w:eastAsia="Arial" w:hAnsi="Arial"/>
          <w:b/>
          <w:bCs/>
          <w:color w:val="2E86C1"/>
          <w:sz w:val="26"/>
          <w:szCs w:val="26"/>
        </w:rPr>
        <w:t xml:space="preserve">4.1 In Scope</w:t>
      </w:r>
    </w:p>
    <w:p>
      <w:pPr>
        <w:pStyle w:val="ListParagraph"/>
        <w:numPr>
          <w:ilvl w:val="0"/>
          <w:numId w:val="2"/>
        </w:numPr>
        <w:spacing w:after="60"/>
      </w:pPr>
      <w:r>
        <w:rPr>
          <w:rFonts w:ascii="Arial" w:cs="Arial" w:eastAsia="Arial" w:hAnsi="Arial"/>
          <w:color w:val="2C3E50"/>
          <w:sz w:val="20"/>
          <w:szCs w:val="20"/>
        </w:rPr>
        <w:t xml:space="preserve">Data ingestion pipeline for Open Food Facts (Canadian subset: ~30,000–50,000 products), USDA FoodData Central, and CFIA recall/safety data.</w:t>
      </w:r>
    </w:p>
    <w:p>
      <w:pPr>
        <w:pStyle w:val="ListParagraph"/>
        <w:numPr>
          <w:ilvl w:val="0"/>
          <w:numId w:val="2"/>
        </w:numPr>
        <w:spacing w:after="60"/>
      </w:pPr>
      <w:r>
        <w:rPr>
          <w:rFonts w:ascii="Arial" w:cs="Arial" w:eastAsia="Arial" w:hAnsi="Arial"/>
          <w:color w:val="2C3E50"/>
          <w:sz w:val="20"/>
          <w:szCs w:val="20"/>
        </w:rPr>
        <w:t xml:space="preserve">Data normalization, deduplication, and enrichment across sources.</w:t>
      </w:r>
    </w:p>
    <w:p>
      <w:pPr>
        <w:pStyle w:val="ListParagraph"/>
        <w:numPr>
          <w:ilvl w:val="0"/>
          <w:numId w:val="2"/>
        </w:numPr>
        <w:spacing w:after="60"/>
      </w:pPr>
      <w:r>
        <w:rPr>
          <w:rFonts w:ascii="Arial" w:cs="Arial" w:eastAsia="Arial" w:hAnsi="Arial"/>
          <w:color w:val="2C3E50"/>
          <w:sz w:val="20"/>
          <w:szCs w:val="20"/>
        </w:rPr>
        <w:t xml:space="preserve">Embedding generation using a locally-hosted embedding model.</w:t>
      </w:r>
    </w:p>
    <w:p>
      <w:pPr>
        <w:pStyle w:val="ListParagraph"/>
        <w:numPr>
          <w:ilvl w:val="0"/>
          <w:numId w:val="2"/>
        </w:numPr>
        <w:spacing w:after="60"/>
      </w:pPr>
      <w:r>
        <w:rPr>
          <w:rFonts w:ascii="Arial" w:cs="Arial" w:eastAsia="Arial" w:hAnsi="Arial"/>
          <w:color w:val="2C3E50"/>
          <w:sz w:val="20"/>
          <w:szCs w:val="20"/>
        </w:rPr>
        <w:t xml:space="preserve">Vector storage and retrieval layer with support for hybrid search (vector similarity + metadata filtering).</w:t>
      </w:r>
    </w:p>
    <w:p>
      <w:pPr>
        <w:pStyle w:val="ListParagraph"/>
        <w:numPr>
          <w:ilvl w:val="0"/>
          <w:numId w:val="2"/>
        </w:numPr>
        <w:spacing w:after="60"/>
      </w:pPr>
      <w:r>
        <w:rPr>
          <w:rFonts w:ascii="Arial" w:cs="Arial" w:eastAsia="Arial" w:hAnsi="Arial"/>
          <w:color w:val="2C3E50"/>
          <w:sz w:val="20"/>
          <w:szCs w:val="20"/>
        </w:rPr>
        <w:t xml:space="preserve">Synthetic training data generation: 3,000–5,000 instruction/context/response triples across defined question categories.</w:t>
      </w:r>
    </w:p>
    <w:p>
      <w:pPr>
        <w:pStyle w:val="ListParagraph"/>
        <w:numPr>
          <w:ilvl w:val="0"/>
          <w:numId w:val="2"/>
        </w:numPr>
        <w:spacing w:after="60"/>
      </w:pPr>
      <w:r>
        <w:rPr>
          <w:rFonts w:ascii="Arial" w:cs="Arial" w:eastAsia="Arial" w:hAnsi="Arial"/>
          <w:color w:val="2C3E50"/>
          <w:sz w:val="20"/>
          <w:szCs w:val="20"/>
        </w:rPr>
        <w:t xml:space="preserve">QLoRA fine-tuning of a 7–8B parameter model (Mistral 7B or Llama 3.1 8B).</w:t>
      </w:r>
    </w:p>
    <w:p>
      <w:pPr>
        <w:pStyle w:val="ListParagraph"/>
        <w:numPr>
          <w:ilvl w:val="0"/>
          <w:numId w:val="2"/>
        </w:numPr>
        <w:spacing w:after="60"/>
      </w:pPr>
      <w:r>
        <w:rPr>
          <w:rFonts w:ascii="Arial" w:cs="Arial" w:eastAsia="Arial" w:hAnsi="Arial"/>
          <w:color w:val="2C3E50"/>
          <w:sz w:val="20"/>
          <w:szCs w:val="20"/>
        </w:rPr>
        <w:t xml:space="preserve">Evaluation harness comparing fine-tuned model vs. base model on retrieval-grounded Q&amp;A tasks.</w:t>
      </w:r>
    </w:p>
    <w:p>
      <w:pPr>
        <w:pStyle w:val="ListParagraph"/>
        <w:numPr>
          <w:ilvl w:val="0"/>
          <w:numId w:val="2"/>
        </w:numPr>
        <w:spacing w:after="60"/>
      </w:pPr>
      <w:r>
        <w:rPr>
          <w:rFonts w:ascii="Arial" w:cs="Arial" w:eastAsia="Arial" w:hAnsi="Arial"/>
          <w:color w:val="2C3E50"/>
          <w:sz w:val="20"/>
          <w:szCs w:val="20"/>
        </w:rPr>
        <w:t xml:space="preserve">RAG inference pipeline: query → embed → retrieve → construct prompt → generate response.</w:t>
      </w:r>
    </w:p>
    <w:p>
      <w:pPr>
        <w:pStyle w:val="ListParagraph"/>
        <w:numPr>
          <w:ilvl w:val="0"/>
          <w:numId w:val="2"/>
        </w:numPr>
        <w:spacing w:after="60"/>
      </w:pPr>
      <w:r>
        <w:rPr>
          <w:rFonts w:ascii="Arial" w:cs="Arial" w:eastAsia="Arial" w:hAnsi="Arial"/>
          <w:color w:val="2C3E50"/>
          <w:sz w:val="20"/>
          <w:szCs w:val="20"/>
        </w:rPr>
        <w:t xml:space="preserve">Local development environment targeting Apple Silicon M4 Pro.</w:t>
      </w:r>
    </w:p>
    <w:p>
      <w:pPr>
        <w:pStyle w:val="ListParagraph"/>
        <w:numPr>
          <w:ilvl w:val="0"/>
          <w:numId w:val="2"/>
        </w:numPr>
        <w:spacing w:after="60"/>
      </w:pPr>
      <w:r>
        <w:rPr>
          <w:rFonts w:ascii="Arial" w:cs="Arial" w:eastAsia="Arial" w:hAnsi="Arial"/>
          <w:color w:val="2C3E50"/>
          <w:sz w:val="20"/>
          <w:szCs w:val="20"/>
        </w:rPr>
        <w:t xml:space="preserve">Cloud deployment pathway for the serving layer.</w:t>
      </w:r>
    </w:p>
    <w:p>
      <w:pPr>
        <w:pStyle w:val="Heading2"/>
        <w:spacing w:after="120" w:before="240"/>
      </w:pPr>
      <w:r>
        <w:rPr>
          <w:rFonts w:ascii="Arial" w:cs="Arial" w:eastAsia="Arial" w:hAnsi="Arial"/>
          <w:b/>
          <w:bCs/>
          <w:color w:val="2E86C1"/>
          <w:sz w:val="26"/>
          <w:szCs w:val="26"/>
        </w:rPr>
        <w:t xml:space="preserve">4.2 Out of Scope</w:t>
      </w:r>
    </w:p>
    <w:p>
      <w:pPr>
        <w:pStyle w:val="ListParagraph"/>
        <w:numPr>
          <w:ilvl w:val="0"/>
          <w:numId w:val="2"/>
        </w:numPr>
        <w:spacing w:after="60"/>
      </w:pPr>
      <w:r>
        <w:rPr>
          <w:rFonts w:ascii="Arial" w:cs="Arial" w:eastAsia="Arial" w:hAnsi="Arial"/>
          <w:color w:val="2C3E50"/>
          <w:sz w:val="20"/>
          <w:szCs w:val="20"/>
        </w:rPr>
        <w:t xml:space="preserve">Production-grade user interface (CLI and API endpoints only for this phase).</w:t>
      </w:r>
    </w:p>
    <w:p>
      <w:pPr>
        <w:pStyle w:val="ListParagraph"/>
        <w:numPr>
          <w:ilvl w:val="0"/>
          <w:numId w:val="2"/>
        </w:numPr>
        <w:spacing w:after="60"/>
      </w:pPr>
      <w:r>
        <w:rPr>
          <w:rFonts w:ascii="Arial" w:cs="Arial" w:eastAsia="Arial" w:hAnsi="Arial"/>
          <w:color w:val="2C3E50"/>
          <w:sz w:val="20"/>
          <w:szCs w:val="20"/>
        </w:rPr>
        <w:t xml:space="preserve">Real-time pricing or promotional data integration (future enhancement).</w:t>
      </w:r>
    </w:p>
    <w:p>
      <w:pPr>
        <w:pStyle w:val="ListParagraph"/>
        <w:numPr>
          <w:ilvl w:val="0"/>
          <w:numId w:val="2"/>
        </w:numPr>
        <w:spacing w:after="60"/>
      </w:pPr>
      <w:r>
        <w:rPr>
          <w:rFonts w:ascii="Arial" w:cs="Arial" w:eastAsia="Arial" w:hAnsi="Arial"/>
          <w:color w:val="2C3E50"/>
          <w:sz w:val="20"/>
          <w:szCs w:val="20"/>
        </w:rPr>
        <w:t xml:space="preserve">Multi-language support beyond English (French Canadian products will be included in data but Q&amp;A will target English).</w:t>
      </w:r>
    </w:p>
    <w:p>
      <w:pPr>
        <w:pStyle w:val="ListParagraph"/>
        <w:numPr>
          <w:ilvl w:val="0"/>
          <w:numId w:val="2"/>
        </w:numPr>
        <w:spacing w:after="60"/>
      </w:pPr>
      <w:r>
        <w:rPr>
          <w:rFonts w:ascii="Arial" w:cs="Arial" w:eastAsia="Arial" w:hAnsi="Arial"/>
          <w:color w:val="2C3E50"/>
          <w:sz w:val="20"/>
          <w:szCs w:val="20"/>
        </w:rPr>
        <w:t xml:space="preserve">Full fine-tuning (only parameter-efficient fine-tuning via LoRA/QLoRA).</w:t>
      </w:r>
    </w:p>
    <w:p>
      <w:pPr>
        <w:pStyle w:val="ListParagraph"/>
        <w:numPr>
          <w:ilvl w:val="0"/>
          <w:numId w:val="2"/>
        </w:numPr>
        <w:spacing w:after="60"/>
      </w:pPr>
      <w:r>
        <w:rPr>
          <w:rFonts w:ascii="Arial" w:cs="Arial" w:eastAsia="Arial" w:hAnsi="Arial"/>
          <w:color w:val="2C3E50"/>
          <w:sz w:val="20"/>
          <w:szCs w:val="20"/>
        </w:rPr>
        <w:t xml:space="preserve">Client-facing deployment or external user access.</w:t>
      </w:r>
    </w:p>
    <w:p>
      <w:pPr>
        <w:pBdr>
          <w:bottom w:val="single" w:color="2E86C1" w:sz="4" w:space="1"/>
        </w:pBdr>
        <w:spacing w:after="200" w:before="200"/>
      </w:pPr>
    </w:p>
    <w:p>
      <w:pPr>
        <w:pStyle w:val="Heading1"/>
        <w:spacing w:after="200" w:before="360"/>
      </w:pPr>
      <w:r>
        <w:rPr>
          <w:rFonts w:ascii="Arial" w:cs="Arial" w:eastAsia="Arial" w:hAnsi="Arial"/>
          <w:b/>
          <w:bCs/>
          <w:color w:val="1B4F72"/>
          <w:sz w:val="32"/>
          <w:szCs w:val="32"/>
        </w:rPr>
        <w:t xml:space="preserve">5. Data Strategy</w:t>
      </w:r>
    </w:p>
    <w:p>
      <w:pPr>
        <w:pStyle w:val="Heading2"/>
        <w:spacing w:after="120" w:before="240"/>
      </w:pPr>
      <w:r>
        <w:rPr>
          <w:rFonts w:ascii="Arial" w:cs="Arial" w:eastAsia="Arial" w:hAnsi="Arial"/>
          <w:b/>
          <w:bCs/>
          <w:color w:val="2E86C1"/>
          <w:sz w:val="26"/>
          <w:szCs w:val="26"/>
        </w:rPr>
        <w:t xml:space="preserve">5.1 Source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Scale</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Format</w:t>
            </w:r>
          </w:p>
        </w:tc>
        <w:tc>
          <w:tcPr>
            <w:tcW w:type="dxa" w:w="2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Open Food Facts</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~30K–50K Canadian products</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CSV / JSONL</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Products, ingredients, nutrition, allergens, categories, Nutri-Score, NOVA</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USDA FoodData Central</w:t>
            </w:r>
          </w:p>
        </w:tc>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~400K food items</w:t>
            </w:r>
          </w:p>
        </w:tc>
        <w:tc>
          <w:tcPr>
            <w:tcW w:type="dxa" w:w="3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JSON / API</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Detailed nutrient profiles, branded products, standard reference data</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CFIA Recalls</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Historical database</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HTML / API</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Product recalls, safety alerts, labeling compliance</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Atlantic Producer Directories</w:t>
            </w:r>
          </w:p>
        </w:tc>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~500–1,000 entries</w:t>
            </w:r>
          </w:p>
        </w:tc>
        <w:tc>
          <w:tcPr>
            <w:tcW w:type="dxa" w:w="3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Web / CSV</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Local producer names, products, regions, retail channels</w:t>
            </w:r>
          </w:p>
        </w:tc>
      </w:tr>
    </w:tbl>
    <w:p>
      <w:pPr>
        <w:spacing w:after="120"/>
      </w:pPr>
    </w:p>
    <w:p>
      <w:pPr>
        <w:pStyle w:val="Heading2"/>
        <w:spacing w:after="120" w:before="240"/>
      </w:pPr>
      <w:r>
        <w:rPr>
          <w:rFonts w:ascii="Arial" w:cs="Arial" w:eastAsia="Arial" w:hAnsi="Arial"/>
          <w:b/>
          <w:bCs/>
          <w:color w:val="2E86C1"/>
          <w:sz w:val="26"/>
          <w:szCs w:val="26"/>
        </w:rPr>
        <w:t xml:space="preserve">5.2 Training Data Categories</w:t>
      </w:r>
    </w:p>
    <w:p>
      <w:pPr>
        <w:spacing w:after="120"/>
      </w:pPr>
      <w:r>
        <w:rPr>
          <w:rFonts w:ascii="Arial" w:cs="Arial" w:eastAsia="Arial" w:hAnsi="Arial"/>
          <w:color w:val="2C3E50"/>
          <w:sz w:val="20"/>
          <w:szCs w:val="20"/>
        </w:rPr>
        <w:t xml:space="preserve">Synthetic Q&amp;A training pairs will be generated across five categories, each designed to develop a specific capability in the fine-tuned model:</w:t>
      </w:r>
    </w:p>
    <w:p>
      <w:pPr>
        <w:pStyle w:val="ListParagraph"/>
        <w:numPr>
          <w:ilvl w:val="0"/>
          <w:numId w:val="2"/>
        </w:numPr>
        <w:spacing w:after="60"/>
      </w:pPr>
      <w:r>
        <w:rPr>
          <w:rFonts w:ascii="Arial" w:cs="Arial" w:eastAsia="Arial" w:hAnsi="Arial"/>
          <w:color w:val="2C3E50"/>
          <w:sz w:val="20"/>
          <w:szCs w:val="20"/>
        </w:rPr>
        <w:t xml:space="preserve">Product Discovery — finding products matching specific criteria (brand, category, dietary attributes, region).</w:t>
      </w:r>
    </w:p>
    <w:p>
      <w:pPr>
        <w:pStyle w:val="ListParagraph"/>
        <w:numPr>
          <w:ilvl w:val="0"/>
          <w:numId w:val="2"/>
        </w:numPr>
        <w:spacing w:after="60"/>
      </w:pPr>
      <w:r>
        <w:rPr>
          <w:rFonts w:ascii="Arial" w:cs="Arial" w:eastAsia="Arial" w:hAnsi="Arial"/>
          <w:color w:val="2C3E50"/>
          <w:sz w:val="20"/>
          <w:szCs w:val="20"/>
        </w:rPr>
        <w:t xml:space="preserve">Comparative Analysis — comparing products across nutritional, ingredient, or category dimensions.</w:t>
      </w:r>
    </w:p>
    <w:p>
      <w:pPr>
        <w:pStyle w:val="ListParagraph"/>
        <w:numPr>
          <w:ilvl w:val="0"/>
          <w:numId w:val="2"/>
        </w:numPr>
        <w:spacing w:after="60"/>
      </w:pPr>
      <w:r>
        <w:rPr>
          <w:rFonts w:ascii="Arial" w:cs="Arial" w:eastAsia="Arial" w:hAnsi="Arial"/>
          <w:color w:val="2C3E50"/>
          <w:sz w:val="20"/>
          <w:szCs w:val="20"/>
        </w:rPr>
        <w:t xml:space="preserve">Ingredient Interpretation — analyzing ingredient lists for allergens, processing level, clean-label assessment.</w:t>
      </w:r>
    </w:p>
    <w:p>
      <w:pPr>
        <w:pStyle w:val="ListParagraph"/>
        <w:numPr>
          <w:ilvl w:val="0"/>
          <w:numId w:val="2"/>
        </w:numPr>
        <w:spacing w:after="60"/>
      </w:pPr>
      <w:r>
        <w:rPr>
          <w:rFonts w:ascii="Arial" w:cs="Arial" w:eastAsia="Arial" w:hAnsi="Arial"/>
          <w:color w:val="2C3E50"/>
          <w:sz w:val="20"/>
          <w:szCs w:val="20"/>
        </w:rPr>
        <w:t xml:space="preserve">Trend and Category Analysis — identifying patterns, new entrants, and shifts within product categories.</w:t>
      </w:r>
    </w:p>
    <w:p>
      <w:pPr>
        <w:pStyle w:val="ListParagraph"/>
        <w:numPr>
          <w:ilvl w:val="0"/>
          <w:numId w:val="2"/>
        </w:numPr>
        <w:spacing w:after="60"/>
      </w:pPr>
      <w:r>
        <w:rPr>
          <w:rFonts w:ascii="Arial" w:cs="Arial" w:eastAsia="Arial" w:hAnsi="Arial"/>
          <w:color w:val="2C3E50"/>
          <w:sz w:val="20"/>
          <w:szCs w:val="20"/>
        </w:rPr>
        <w:t xml:space="preserve">Unanswerable Queries — questions where the retrieved context deliberately does not contain the answer, training the model to acknowledge information gaps.</w:t>
      </w:r>
    </w:p>
    <w:p>
      <w:pPr>
        <w:spacing w:after="120"/>
      </w:pPr>
      <w:r>
        <w:rPr>
          <w:rFonts w:ascii="Arial" w:cs="Arial" w:eastAsia="Arial" w:hAnsi="Arial"/>
          <w:color w:val="2C3E50"/>
          <w:sz w:val="20"/>
          <w:szCs w:val="20"/>
        </w:rPr>
        <w:t xml:space="preserve">Target: 3,000–5,000 curated instruction/context/response triples, with human review of a minimum 10% sample for quality assurance.</w:t>
      </w:r>
    </w:p>
    <w:p>
      <w:pPr>
        <w:pBdr>
          <w:bottom w:val="single" w:color="2E86C1" w:sz="4" w:space="1"/>
        </w:pBdr>
        <w:spacing w:after="200" w:before="200"/>
      </w:pPr>
    </w:p>
    <w:p>
      <w:pPr>
        <w:pStyle w:val="Heading1"/>
        <w:spacing w:after="200" w:before="360"/>
      </w:pPr>
      <w:r>
        <w:rPr>
          <w:rFonts w:ascii="Arial" w:cs="Arial" w:eastAsia="Arial" w:hAnsi="Arial"/>
          <w:b/>
          <w:bCs/>
          <w:color w:val="1B4F72"/>
          <w:sz w:val="32"/>
          <w:szCs w:val="32"/>
        </w:rPr>
        <w:t xml:space="preserve">6. Delivery Phases &amp; Milestones</w:t>
      </w:r>
    </w:p>
    <w:p>
      <w:pPr>
        <w:pStyle w:val="Heading2"/>
        <w:spacing w:after="120" w:before="240"/>
      </w:pPr>
      <w:r>
        <w:rPr>
          <w:rFonts w:ascii="Arial" w:cs="Arial" w:eastAsia="Arial" w:hAnsi="Arial"/>
          <w:b/>
          <w:bCs/>
          <w:color w:val="2E86C1"/>
          <w:sz w:val="26"/>
          <w:szCs w:val="26"/>
        </w:rPr>
        <w:t xml:space="preserve">Phase 1: Data Foundation</w:t>
      </w:r>
    </w:p>
    <w:p>
      <w:pPr>
        <w:spacing w:after="120"/>
      </w:pPr>
      <w:r>
        <w:rPr>
          <w:rFonts w:ascii="Arial" w:cs="Arial" w:eastAsia="Arial" w:hAnsi="Arial"/>
          <w:color w:val="2C3E50"/>
          <w:sz w:val="20"/>
          <w:szCs w:val="20"/>
        </w:rPr>
        <w:t xml:space="preserve">Build the ingestion pipeline that acquires, normalizes, and indexes the source datasets. Validate retrieval quality with manual similarity searches. This phase establishes the data infrastructure that all subsequent work depends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Data ingestion pipeline</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Canadian OFF subset fully ingested, deduplicated, and normalized</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1–2 weeks</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Embedding generation</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All product records embedded and stored in vector database</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Included above</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Retrieval validation</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Manual testing confirms relevant products returned for 20+ sample queries</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Included above</w:t>
            </w:r>
          </w:p>
        </w:tc>
      </w:tr>
    </w:tbl>
    <w:p>
      <w:pPr>
        <w:spacing w:after="120"/>
      </w:pPr>
    </w:p>
    <w:p>
      <w:pPr>
        <w:pStyle w:val="Heading2"/>
        <w:spacing w:after="120" w:before="240"/>
      </w:pPr>
      <w:r>
        <w:rPr>
          <w:rFonts w:ascii="Arial" w:cs="Arial" w:eastAsia="Arial" w:hAnsi="Arial"/>
          <w:b/>
          <w:bCs/>
          <w:color w:val="2E86C1"/>
          <w:sz w:val="26"/>
          <w:szCs w:val="26"/>
        </w:rPr>
        <w:t xml:space="preserve">Phase 2: Training Data Generation</w:t>
      </w:r>
    </w:p>
    <w:p>
      <w:pPr>
        <w:spacing w:after="120"/>
      </w:pPr>
      <w:r>
        <w:rPr>
          <w:rFonts w:ascii="Arial" w:cs="Arial" w:eastAsia="Arial" w:hAnsi="Arial"/>
          <w:color w:val="2C3E50"/>
          <w:sz w:val="20"/>
          <w:szCs w:val="20"/>
        </w:rPr>
        <w:t xml:space="preserve">Generate the synthetic Q&amp;A dataset that will be used to fine-tune the model. This involves designing prompt templates for each question category, generating candidate pairs at scale, and curating the final dataset through quality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Prompt templates</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Templates defined for all 5 question categories with seed examples</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 week</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Synthetic Q&amp;A dataset</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3,000–5,000 instruction triples generated and stored as versioned JSONL</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1–2 weeks</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Quality review</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Minimum 10% of pairs human-reviewed; quality issues documented and addressed</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Included above</w:t>
            </w:r>
          </w:p>
        </w:tc>
      </w:tr>
    </w:tbl>
    <w:p>
      <w:pPr>
        <w:spacing w:after="120"/>
      </w:pPr>
    </w:p>
    <w:p>
      <w:pPr>
        <w:pStyle w:val="Heading2"/>
        <w:spacing w:after="120" w:before="240"/>
      </w:pPr>
      <w:r>
        <w:rPr>
          <w:rFonts w:ascii="Arial" w:cs="Arial" w:eastAsia="Arial" w:hAnsi="Arial"/>
          <w:b/>
          <w:bCs/>
          <w:color w:val="2E86C1"/>
          <w:sz w:val="26"/>
          <w:szCs w:val="26"/>
        </w:rPr>
        <w:t xml:space="preserve">Phase 3: Model Fine-Tuning</w:t>
      </w:r>
    </w:p>
    <w:p>
      <w:pPr>
        <w:spacing w:after="120"/>
      </w:pPr>
      <w:r>
        <w:rPr>
          <w:rFonts w:ascii="Arial" w:cs="Arial" w:eastAsia="Arial" w:hAnsi="Arial"/>
          <w:color w:val="2C3E50"/>
          <w:sz w:val="20"/>
          <w:szCs w:val="20"/>
        </w:rPr>
        <w:t xml:space="preserve">Fine-tune the base model using the curated training data. Run multiple training experiments to identify optimal hyperparameters. Evaluate the fine-tuned model against the base model on a held-out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Fine-tuned model (LoRA adapter)</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Model trains successfully on M4 Pro; adapter weights exported</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1–2 weeks</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Evaluation report</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Quantitative comparison (accuracy, grounding, hallucination rate) vs. base model on held-out set</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Included above</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Hyperparameter log</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All training runs documented with configs and results</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Included above</w:t>
            </w:r>
          </w:p>
        </w:tc>
      </w:tr>
    </w:tbl>
    <w:p>
      <w:pPr>
        <w:spacing w:after="120"/>
      </w:pPr>
    </w:p>
    <w:p>
      <w:pPr>
        <w:pStyle w:val="Heading2"/>
        <w:spacing w:after="120" w:before="240"/>
      </w:pPr>
      <w:r>
        <w:rPr>
          <w:rFonts w:ascii="Arial" w:cs="Arial" w:eastAsia="Arial" w:hAnsi="Arial"/>
          <w:b/>
          <w:bCs/>
          <w:color w:val="2E86C1"/>
          <w:sz w:val="26"/>
          <w:szCs w:val="26"/>
        </w:rPr>
        <w:t xml:space="preserve">Phase 4: RAG Inference Pipeline</w:t>
      </w:r>
    </w:p>
    <w:p>
      <w:pPr>
        <w:spacing w:after="120"/>
      </w:pPr>
      <w:r>
        <w:rPr>
          <w:rFonts w:ascii="Arial" w:cs="Arial" w:eastAsia="Arial" w:hAnsi="Arial"/>
          <w:color w:val="2C3E50"/>
          <w:sz w:val="20"/>
          <w:szCs w:val="20"/>
        </w:rPr>
        <w:t xml:space="preserve">Build the end-to-end retrieval-augmented generation pipeline that connects a user query to a grounded, cited response. This integrates the data layer (Phase 1) with the fine-tuned model (Phase 3) into a working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RAG pipeline</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Query → retrieve → generate flow working end-to-end locally</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1–2 weeks</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API endpoint</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HTTP endpoint accepting queries and returning structured responses with citations</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Included above</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Integration test suite</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Automated tests covering all 5 question categories with pass/fail assertions</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Included above</w:t>
            </w:r>
          </w:p>
        </w:tc>
      </w:tr>
    </w:tbl>
    <w:p>
      <w:pPr>
        <w:spacing w:after="120"/>
      </w:pPr>
    </w:p>
    <w:p>
      <w:pPr>
        <w:pStyle w:val="Heading2"/>
        <w:spacing w:after="120" w:before="240"/>
      </w:pPr>
      <w:r>
        <w:rPr>
          <w:rFonts w:ascii="Arial" w:cs="Arial" w:eastAsia="Arial" w:hAnsi="Arial"/>
          <w:b/>
          <w:bCs/>
          <w:color w:val="2E86C1"/>
          <w:sz w:val="26"/>
          <w:szCs w:val="26"/>
        </w:rPr>
        <w:t xml:space="preserve">Phase 5: Cloud Deployment &amp; Orchestration</w:t>
      </w:r>
    </w:p>
    <w:p>
      <w:pPr>
        <w:spacing w:after="120"/>
      </w:pPr>
      <w:r>
        <w:rPr>
          <w:rFonts w:ascii="Arial" w:cs="Arial" w:eastAsia="Arial" w:hAnsi="Arial"/>
          <w:color w:val="2C3E50"/>
          <w:sz w:val="20"/>
          <w:szCs w:val="20"/>
        </w:rPr>
        <w:t xml:space="preserve">Migrate the serving layer from local development to cloud infrastructure. Implement the orchestration layer that manages model lifecycle, data refresh, and retraining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Cloud deployment</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Serving layer running on cloud GPU instance; accessible via API</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1–2 weeks</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Orchestration service</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Automated data refresh, retraining trigger, and adapter swap without downtime</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Included above</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Deployment documentation</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Runbook covering setup, configuration, monitoring, and rollback procedures</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Included above</w:t>
            </w:r>
          </w:p>
        </w:tc>
      </w:tr>
    </w:tbl>
    <w:p>
      <w:pPr>
        <w:spacing w:after="120"/>
      </w:pPr>
    </w:p>
    <w:p>
      <w:pPr>
        <w:pBdr>
          <w:bottom w:val="single" w:color="2E86C1" w:sz="4" w:space="1"/>
        </w:pBdr>
        <w:spacing w:after="200" w:before="200"/>
      </w:pPr>
    </w:p>
    <w:p>
      <w:pPr>
        <w:pStyle w:val="Heading1"/>
        <w:spacing w:after="200" w:before="360"/>
      </w:pPr>
      <w:r>
        <w:rPr>
          <w:rFonts w:ascii="Arial" w:cs="Arial" w:eastAsia="Arial" w:hAnsi="Arial"/>
          <w:b/>
          <w:bCs/>
          <w:color w:val="1B4F72"/>
          <w:sz w:val="32"/>
          <w:szCs w:val="32"/>
        </w:rPr>
        <w:t xml:space="preserve">7. Architecture Constraints</w:t>
      </w:r>
    </w:p>
    <w:p>
      <w:pPr>
        <w:spacing w:after="120"/>
      </w:pPr>
      <w:r>
        <w:rPr>
          <w:rFonts w:ascii="Arial" w:cs="Arial" w:eastAsia="Arial" w:hAnsi="Arial"/>
          <w:color w:val="2C3E50"/>
          <w:sz w:val="20"/>
          <w:szCs w:val="20"/>
        </w:rPr>
        <w:t xml:space="preserve">The following constraints define the technical boundaries within which the development team should operate. These are non-negotiable requirements driven by the project’s learning objectives and infrastructure realities.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w:t>
            </w:r>
          </w:p>
        </w:tc>
        <w:tc>
          <w:tcPr>
            <w:tcW w:type="dxa" w:w="6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Dual-language: Go + Python</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Go handles data pipelines, orchestration, and serving. Python handles model training and evaluation. This split is a core learning objective.</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Local-first development</w:t>
            </w:r>
          </w:p>
        </w:tc>
        <w:tc>
          <w:tcPr>
            <w:tcW w:type="dxa" w:w="6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All development and initial training must run on Apple Silicon M4 Pro (48GB unified memory). Cloud is for deployment only.</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Parameter-efficient fine-tuning only</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Use QLoRA/LoRA exclusively. Full fine-tuning is out of scope due to hardware constraints.</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Model size: 7–8B parameters</w:t>
            </w:r>
          </w:p>
        </w:tc>
        <w:tc>
          <w:tcPr>
            <w:tcW w:type="dxa" w:w="6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Larger models exceed local fine-tuning capacity. Smaller models lack the reasoning capability needed for comparative Q&amp;A.</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Vector store evaluation required</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The team must evaluate at least two vector storage options (LanceDB and pgvector recommended) and document the tradeoffs.</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gRPC for Go↔Python communication</w:t>
            </w:r>
          </w:p>
        </w:tc>
        <w:tc>
          <w:tcPr>
            <w:tcW w:type="dxa" w:w="6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Service boundaries between Go and Python should be defined via gRPC, not subprocess calls or shared filesystems.</w:t>
            </w:r>
          </w:p>
        </w:tc>
      </w:tr>
    </w:tbl>
    <w:p>
      <w:pPr>
        <w:spacing w:after="120"/>
      </w:pPr>
    </w:p>
    <w:p>
      <w:pPr>
        <w:pBdr>
          <w:bottom w:val="single" w:color="2E86C1" w:sz="4" w:space="1"/>
        </w:pBdr>
        <w:spacing w:after="200" w:before="200"/>
      </w:pPr>
    </w:p>
    <w:p>
      <w:pPr>
        <w:pStyle w:val="Heading1"/>
        <w:spacing w:after="200" w:before="360"/>
      </w:pPr>
      <w:r>
        <w:rPr>
          <w:rFonts w:ascii="Arial" w:cs="Arial" w:eastAsia="Arial" w:hAnsi="Arial"/>
          <w:b/>
          <w:bCs/>
          <w:color w:val="1B4F72"/>
          <w:sz w:val="32"/>
          <w:szCs w:val="32"/>
        </w:rPr>
        <w:t xml:space="preserve">8.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4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Training data quality insufficient for meaningful fine-tuning improvement</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E74C3C"/>
                <w:sz w:val="20"/>
                <w:szCs w:val="20"/>
              </w:rPr>
              <w:t xml:space="preserve">High</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E67E22"/>
                <w:sz w:val="20"/>
                <w:szCs w:val="20"/>
              </w:rPr>
              <w:t xml:space="preserve">Medium</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Human review 10% of synthetic data. Run baseline evaluation before fine-tuning to establish clear comparison point. Iterate on prompt templates if quality is low.</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M4 Pro memory insufficient for training with chosen model + dataset size</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E67E22"/>
                <w:sz w:val="20"/>
                <w:szCs w:val="20"/>
              </w:rPr>
              <w:t xml:space="preserve">Medium</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7AE60"/>
                <w:sz w:val="20"/>
                <w:szCs w:val="20"/>
              </w:rPr>
              <w:t xml:space="preserve">Low</w:t>
            </w:r>
          </w:p>
        </w:tc>
        <w:tc>
          <w:tcPr>
            <w:tcW w:type="dxa" w:w="4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Start with smallest viable model (Mistral 7B). Use aggressive quantization (4-bit QLoRA). Reduce batch size and sequence length if needed.</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Open Food Facts Canadian data too sparse or inconsistent for meaningful retrieval</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E67E22"/>
                <w:sz w:val="20"/>
                <w:szCs w:val="20"/>
              </w:rPr>
              <w:t xml:space="preserve">Medium</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E67E22"/>
                <w:sz w:val="20"/>
                <w:szCs w:val="20"/>
              </w:rPr>
              <w:t xml:space="preserve">Medium</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Supplement with USDA FoodData Central. Build enrichment pipeline early in Phase 1 to identify and fill gaps before training data generation.</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Fine-tuned model learns confident-sounding but ungrounded responses</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E74C3C"/>
                <w:sz w:val="20"/>
                <w:szCs w:val="20"/>
              </w:rPr>
              <w:t xml:space="preserve">High</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E67E22"/>
                <w:sz w:val="20"/>
                <w:szCs w:val="20"/>
              </w:rPr>
              <w:t xml:space="preserve">Medium</w:t>
            </w:r>
          </w:p>
        </w:tc>
        <w:tc>
          <w:tcPr>
            <w:tcW w:type="dxa" w:w="4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Include 15–20% unanswerable queries in training data. Build hallucination-specific evaluation metrics. Test with adversarial queries where context contradicts common knowledge.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Go/Python interop adds complexity without proportional benefit</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7AE60"/>
                <w:sz w:val="20"/>
                <w:szCs w:val="20"/>
              </w:rPr>
              <w:t xml:space="preserve">Low</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7AE60"/>
                <w:sz w:val="20"/>
                <w:szCs w:val="20"/>
              </w:rPr>
              <w:t xml:space="preserve">Low</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Start with subprocess calls in Phase 1 for speed, refactor to gRPC in Phase 4. If Go overhead outweighs benefit for a specific component, document the decision and keep it in Python.</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Cloud GPU costs exceed budget for a learning project</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7AE60"/>
                <w:sz w:val="20"/>
                <w:szCs w:val="20"/>
              </w:rPr>
              <w:t xml:space="preserve">Low</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E67E22"/>
                <w:sz w:val="20"/>
                <w:szCs w:val="20"/>
              </w:rPr>
              <w:t xml:space="preserve">Medium</w:t>
            </w:r>
          </w:p>
        </w:tc>
        <w:tc>
          <w:tcPr>
            <w:tcW w:type="dxa" w:w="4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Use spot/preemptible instances. Keep cloud deployment minimal — single inference endpoint, not a full platform. Evaluate serverless GPU options.</w:t>
            </w:r>
          </w:p>
        </w:tc>
      </w:tr>
    </w:tbl>
    <w:p>
      <w:pPr>
        <w:spacing w:after="120"/>
      </w:pPr>
    </w:p>
    <w:p>
      <w:pPr>
        <w:pBdr>
          <w:bottom w:val="single" w:color="2E86C1" w:sz="4" w:space="1"/>
        </w:pBdr>
        <w:spacing w:after="200" w:before="200"/>
      </w:pPr>
    </w:p>
    <w:p>
      <w:pPr>
        <w:pStyle w:val="Heading1"/>
        <w:spacing w:after="200" w:before="360"/>
      </w:pPr>
      <w:r>
        <w:rPr>
          <w:rFonts w:ascii="Arial" w:cs="Arial" w:eastAsia="Arial" w:hAnsi="Arial"/>
          <w:b/>
          <w:bCs/>
          <w:color w:val="1B4F72"/>
          <w:sz w:val="32"/>
          <w:szCs w:val="32"/>
        </w:rPr>
        <w:t xml:space="preserve">9. Success Criteria</w:t>
      </w:r>
    </w:p>
    <w:p>
      <w:pPr>
        <w:spacing w:after="120"/>
      </w:pPr>
      <w:r>
        <w:rPr>
          <w:rFonts w:ascii="Arial" w:cs="Arial" w:eastAsia="Arial" w:hAnsi="Arial"/>
          <w:color w:val="2C3E50"/>
          <w:sz w:val="20"/>
          <w:szCs w:val="20"/>
        </w:rPr>
        <w:t xml:space="preserve">The project will be considered successful if the following criteria are met:</w:t>
      </w:r>
    </w:p>
    <w:p>
      <w:pPr>
        <w:pStyle w:val="ListParagraph"/>
        <w:numPr>
          <w:ilvl w:val="0"/>
          <w:numId w:val="2"/>
        </w:numPr>
        <w:spacing w:after="60"/>
      </w:pPr>
      <w:r>
        <w:rPr>
          <w:rFonts w:ascii="Arial" w:cs="Arial" w:eastAsia="Arial" w:hAnsi="Arial"/>
          <w:color w:val="2C3E50"/>
          <w:sz w:val="20"/>
          <w:szCs w:val="20"/>
        </w:rPr>
        <w:t xml:space="preserve">The fine-tuned model demonstrably outperforms the base model on domain-specific Q&amp;A tasks, measured by accuracy on a held-out evaluation set of at least 200 questions.</w:t>
      </w:r>
    </w:p>
    <w:p>
      <w:pPr>
        <w:pStyle w:val="ListParagraph"/>
        <w:numPr>
          <w:ilvl w:val="0"/>
          <w:numId w:val="2"/>
        </w:numPr>
        <w:spacing w:after="60"/>
      </w:pPr>
      <w:r>
        <w:rPr>
          <w:rFonts w:ascii="Arial" w:cs="Arial" w:eastAsia="Arial" w:hAnsi="Arial"/>
          <w:color w:val="2C3E50"/>
          <w:sz w:val="20"/>
          <w:szCs w:val="20"/>
        </w:rPr>
        <w:t xml:space="preserve">The system correctly declines to answer (rather than hallucinating) on at least 80% of intentionally unanswerable test queries.</w:t>
      </w:r>
    </w:p>
    <w:p>
      <w:pPr>
        <w:pStyle w:val="ListParagraph"/>
        <w:numPr>
          <w:ilvl w:val="0"/>
          <w:numId w:val="2"/>
        </w:numPr>
        <w:spacing w:after="60"/>
      </w:pPr>
      <w:r>
        <w:rPr>
          <w:rFonts w:ascii="Arial" w:cs="Arial" w:eastAsia="Arial" w:hAnsi="Arial"/>
          <w:color w:val="2C3E50"/>
          <w:sz w:val="20"/>
          <w:szCs w:val="20"/>
        </w:rPr>
        <w:t xml:space="preserve">The Go data pipeline processes the full Canadian Open Food Facts dataset in under 10 minutes on the target hardware.</w:t>
      </w:r>
    </w:p>
    <w:p>
      <w:pPr>
        <w:pStyle w:val="ListParagraph"/>
        <w:numPr>
          <w:ilvl w:val="0"/>
          <w:numId w:val="2"/>
        </w:numPr>
        <w:spacing w:after="60"/>
      </w:pPr>
      <w:r>
        <w:rPr>
          <w:rFonts w:ascii="Arial" w:cs="Arial" w:eastAsia="Arial" w:hAnsi="Arial"/>
          <w:color w:val="2C3E50"/>
          <w:sz w:val="20"/>
          <w:szCs w:val="20"/>
        </w:rPr>
        <w:t xml:space="preserve">The RAG inference pipeline returns grounded, cited responses with average latency under 5 seconds (local) or under 3 seconds (cloud).</w:t>
      </w:r>
    </w:p>
    <w:p>
      <w:pPr>
        <w:pStyle w:val="ListParagraph"/>
        <w:numPr>
          <w:ilvl w:val="0"/>
          <w:numId w:val="2"/>
        </w:numPr>
        <w:spacing w:after="60"/>
      </w:pPr>
      <w:r>
        <w:rPr>
          <w:rFonts w:ascii="Arial" w:cs="Arial" w:eastAsia="Arial" w:hAnsi="Arial"/>
          <w:color w:val="2C3E50"/>
          <w:sz w:val="20"/>
          <w:szCs w:val="20"/>
        </w:rPr>
        <w:t xml:space="preserve">The vector store evaluation produces a documented comparison with clear recommendation and supporting evidence.</w:t>
      </w:r>
    </w:p>
    <w:p>
      <w:pPr>
        <w:pStyle w:val="ListParagraph"/>
        <w:numPr>
          <w:ilvl w:val="0"/>
          <w:numId w:val="2"/>
        </w:numPr>
        <w:spacing w:after="60"/>
      </w:pPr>
      <w:r>
        <w:rPr>
          <w:rFonts w:ascii="Arial" w:cs="Arial" w:eastAsia="Arial" w:hAnsi="Arial"/>
          <w:color w:val="2C3E50"/>
          <w:sz w:val="20"/>
          <w:szCs w:val="20"/>
        </w:rPr>
        <w:t xml:space="preserve">All architecture decisions, training experiments, and evaluation results are documented in a format suitable for reference in future projects.</w:t>
      </w:r>
    </w:p>
    <w:p>
      <w:pPr>
        <w:pBdr>
          <w:bottom w:val="single" w:color="2E86C1" w:sz="4" w:space="1"/>
        </w:pBdr>
        <w:spacing w:after="200" w:before="200"/>
      </w:pPr>
    </w:p>
    <w:p>
      <w:pPr>
        <w:pStyle w:val="Heading1"/>
        <w:spacing w:after="200" w:before="360"/>
      </w:pPr>
      <w:r>
        <w:rPr>
          <w:rFonts w:ascii="Arial" w:cs="Arial" w:eastAsia="Arial" w:hAnsi="Arial"/>
          <w:b/>
          <w:bCs/>
          <w:color w:val="1B4F72"/>
          <w:sz w:val="32"/>
          <w:szCs w:val="32"/>
        </w:rPr>
        <w:t xml:space="preserve">10. Estimated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7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7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Phase 1</w:t>
            </w:r>
          </w:p>
        </w:tc>
        <w:tc>
          <w:tcPr>
            <w:tcW w:type="dxa" w:w="37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Data Foundation — ingestion, normalization, embedding, retrieval validation</w:t>
            </w:r>
          </w:p>
        </w:tc>
        <w:tc>
          <w:tcPr>
            <w:tcW w:type="dxa" w:w="37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1–2 weeks</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Phase 2</w:t>
            </w:r>
          </w:p>
        </w:tc>
        <w:tc>
          <w:tcPr>
            <w:tcW w:type="dxa" w:w="37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Training Data — prompt design, synthetic generation, quality review</w:t>
            </w:r>
          </w:p>
        </w:tc>
        <w:tc>
          <w:tcPr>
            <w:tcW w:type="dxa" w:w="37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2–3 weeks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Phase 3</w:t>
            </w:r>
          </w:p>
        </w:tc>
        <w:tc>
          <w:tcPr>
            <w:tcW w:type="dxa" w:w="37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Fine-Tuning — training experiments, evaluation, hyperparameter tuning</w:t>
            </w:r>
          </w:p>
        </w:tc>
        <w:tc>
          <w:tcPr>
            <w:tcW w:type="dxa" w:w="37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1–2 weeks</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Phase 4</w:t>
            </w:r>
          </w:p>
        </w:tc>
        <w:tc>
          <w:tcPr>
            <w:tcW w:type="dxa" w:w="37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RAG Pipeline — end-to-end inference, API endpoint, integration tests</w:t>
            </w:r>
          </w:p>
        </w:tc>
        <w:tc>
          <w:tcPr>
            <w:tcW w:type="dxa" w:w="37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1–2 weeks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Phase 5</w:t>
            </w:r>
          </w:p>
        </w:tc>
        <w:tc>
          <w:tcPr>
            <w:tcW w:type="dxa" w:w="37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Cloud Deployment — infrastructure, orchestration, documentation</w:t>
            </w:r>
          </w:p>
        </w:tc>
        <w:tc>
          <w:tcPr>
            <w:tcW w:type="dxa" w:w="37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1–2 weeks</w:t>
            </w:r>
          </w:p>
        </w:tc>
      </w:tr>
      <w:tr>
        <w:tc>
          <w:tcPr>
            <w:tcW w:type="dxa" w:w="1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Total</w:t>
            </w:r>
          </w:p>
        </w:tc>
        <w:tc>
          <w:tcPr>
            <w:tcW w:type="dxa" w:w="378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sz w:val="20"/>
                <w:szCs w:val="20"/>
              </w:rPr>
              <w:t xml:space="preserve"/>
            </w:r>
          </w:p>
        </w:tc>
        <w:tc>
          <w:tcPr>
            <w:tcW w:type="dxa" w:w="378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6–11 weeks</w:t>
            </w:r>
          </w:p>
        </w:tc>
      </w:tr>
    </w:tbl>
    <w:p>
      <w:pPr>
        <w:spacing w:after="120"/>
      </w:pPr>
    </w:p>
    <w:p>
      <w:pPr>
        <w:spacing w:after="120"/>
      </w:pPr>
      <w:r>
        <w:rPr>
          <w:rFonts w:ascii="Arial" w:cs="Arial" w:eastAsia="Arial" w:hAnsi="Arial"/>
          <w:color w:val="2C3E50"/>
          <w:sz w:val="20"/>
          <w:szCs w:val="20"/>
        </w:rPr>
        <w:t xml:space="preserve">Note: This is a learning-focused R&amp;D project. Timelines assume part-time allocation alongside client delivery work. Phases may overlap where dependencies allow.</w:t>
      </w:r>
    </w:p>
    <w:p>
      <w:pPr>
        <w:pBdr>
          <w:bottom w:val="single" w:color="2E86C1" w:sz="4" w:space="1"/>
        </w:pBdr>
        <w:spacing w:after="200" w:before="200"/>
      </w:pPr>
    </w:p>
    <w:p>
      <w:pPr>
        <w:pStyle w:val="Heading1"/>
        <w:spacing w:after="200" w:before="360"/>
      </w:pPr>
      <w:r>
        <w:rPr>
          <w:rFonts w:ascii="Arial" w:cs="Arial" w:eastAsia="Arial" w:hAnsi="Arial"/>
          <w:b/>
          <w:bCs/>
          <w:color w:val="1B4F72"/>
          <w:sz w:val="32"/>
          <w:szCs w:val="32"/>
        </w:rPr>
        <w:t xml:space="preserve">11. Assumptions &amp; Dependencies</w:t>
      </w:r>
    </w:p>
    <w:p>
      <w:pPr>
        <w:pStyle w:val="ListParagraph"/>
        <w:numPr>
          <w:ilvl w:val="0"/>
          <w:numId w:val="2"/>
        </w:numPr>
        <w:spacing w:after="60"/>
      </w:pPr>
      <w:r>
        <w:rPr>
          <w:rFonts w:ascii="Arial" w:cs="Arial" w:eastAsia="Arial" w:hAnsi="Arial"/>
          <w:color w:val="2C3E50"/>
          <w:sz w:val="20"/>
          <w:szCs w:val="20"/>
        </w:rPr>
        <w:t xml:space="preserve">The development team has access to an Apple Silicon M4 Pro machine with at least 48GB unified memory for local development and training.</w:t>
      </w:r>
    </w:p>
    <w:p>
      <w:pPr>
        <w:pStyle w:val="ListParagraph"/>
        <w:numPr>
          <w:ilvl w:val="0"/>
          <w:numId w:val="2"/>
        </w:numPr>
        <w:spacing w:after="60"/>
      </w:pPr>
      <w:r>
        <w:rPr>
          <w:rFonts w:ascii="Arial" w:cs="Arial" w:eastAsia="Arial" w:hAnsi="Arial"/>
          <w:color w:val="2C3E50"/>
          <w:sz w:val="20"/>
          <w:szCs w:val="20"/>
        </w:rPr>
        <w:t xml:space="preserve">Open Food Facts data is available under its Open Database License and can be used freely for internal R&amp;D.</w:t>
      </w:r>
    </w:p>
    <w:p>
      <w:pPr>
        <w:pStyle w:val="ListParagraph"/>
        <w:numPr>
          <w:ilvl w:val="0"/>
          <w:numId w:val="2"/>
        </w:numPr>
        <w:spacing w:after="60"/>
      </w:pPr>
      <w:r>
        <w:rPr>
          <w:rFonts w:ascii="Arial" w:cs="Arial" w:eastAsia="Arial" w:hAnsi="Arial"/>
          <w:color w:val="2C3E50"/>
          <w:sz w:val="20"/>
          <w:szCs w:val="20"/>
        </w:rPr>
        <w:t xml:space="preserve">Claude API access is available for synthetic training data generation (existing Anthropic API subscription).</w:t>
      </w:r>
    </w:p>
    <w:p>
      <w:pPr>
        <w:pStyle w:val="ListParagraph"/>
        <w:numPr>
          <w:ilvl w:val="0"/>
          <w:numId w:val="2"/>
        </w:numPr>
        <w:spacing w:after="60"/>
      </w:pPr>
      <w:r>
        <w:rPr>
          <w:rFonts w:ascii="Arial" w:cs="Arial" w:eastAsia="Arial" w:hAnsi="Arial"/>
          <w:color w:val="2C3E50"/>
          <w:sz w:val="20"/>
          <w:szCs w:val="20"/>
        </w:rPr>
        <w:t xml:space="preserve">A locally-hosted embedding model (e.g., Nomic Embed via Ollama) is available and performant on the target hardware.</w:t>
      </w:r>
    </w:p>
    <w:p>
      <w:pPr>
        <w:pStyle w:val="ListParagraph"/>
        <w:numPr>
          <w:ilvl w:val="0"/>
          <w:numId w:val="2"/>
        </w:numPr>
        <w:spacing w:after="60"/>
      </w:pPr>
      <w:r>
        <w:rPr>
          <w:rFonts w:ascii="Arial" w:cs="Arial" w:eastAsia="Arial" w:hAnsi="Arial"/>
          <w:color w:val="2C3E50"/>
          <w:sz w:val="20"/>
          <w:szCs w:val="20"/>
        </w:rPr>
        <w:t xml:space="preserve">Cloud GPU infrastructure (spot instances or serverless) can be provisioned within a reasonable budget for deployment testing.</w:t>
      </w:r>
    </w:p>
    <w:p>
      <w:pPr>
        <w:pStyle w:val="ListParagraph"/>
        <w:numPr>
          <w:ilvl w:val="0"/>
          <w:numId w:val="2"/>
        </w:numPr>
        <w:spacing w:after="60"/>
      </w:pPr>
      <w:r>
        <w:rPr>
          <w:rFonts w:ascii="Arial" w:cs="Arial" w:eastAsia="Arial" w:hAnsi="Arial"/>
          <w:color w:val="2C3E50"/>
          <w:sz w:val="20"/>
          <w:szCs w:val="20"/>
        </w:rPr>
        <w:t xml:space="preserve">This project is staffed as a part-time internal initiative and does not have a fixed external deadline.</w:t>
      </w:r>
    </w:p>
    <w:p>
      <w:pPr>
        <w:pBdr>
          <w:bottom w:val="single" w:color="2E86C1" w:sz="4" w:space="1"/>
        </w:pBdr>
        <w:spacing w:after="200" w:before="200"/>
      </w:pPr>
    </w:p>
    <w:p>
      <w:pPr>
        <w:pStyle w:val="Heading1"/>
        <w:spacing w:after="200" w:before="360"/>
      </w:pPr>
      <w:r>
        <w:rPr>
          <w:rFonts w:ascii="Arial" w:cs="Arial" w:eastAsia="Arial" w:hAnsi="Arial"/>
          <w:b/>
          <w:bCs/>
          <w:color w:val="1B4F72"/>
          <w:sz w:val="32"/>
          <w:szCs w:val="32"/>
        </w:rPr>
        <w:t xml:space="preserve">12.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1.0</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March 30, 2026</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Eduard Kakosyan</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Initial project brief</w:t>
            </w:r>
          </w:p>
        </w:tc>
      </w:tr>
    </w:tbl>
    <w:p>
      <w:pPr>
        <w:spacing w:after="4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Arial" w:cs="Arial" w:eastAsia="Arial" w:hAnsi="Arial"/>
        <w:color w:val="BDC3C7"/>
        <w:sz w:val="16"/>
        <w:szCs w:val="16"/>
      </w:rPr>
      <w:t xml:space="preserve">Confidential — AI-First Consulting Inc. — Page </w:t>
    </w:r>
    <w:r>
      <w:rPr>
        <w:rFonts w:ascii="Arial" w:cs="Arial" w:eastAsia="Arial" w:hAnsi="Arial"/>
        <w:color w:val="BDC3C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tabs>
        <w:tab w:val="right" w:pos="9360"/>
      </w:tabs>
    </w:pPr>
    <w:r>
      <w:rPr>
        <w:rFonts w:ascii="Arial" w:cs="Arial" w:eastAsia="Arial" w:hAnsi="Arial"/>
        <w:i/>
        <w:iCs/>
        <w:color w:val="2E86C1"/>
        <w:sz w:val="16"/>
        <w:szCs w:val="16"/>
      </w:rPr>
      <w:t xml:space="preserve">Food &amp; CPG Product Intelligence Platform	</w:t>
    </w:r>
    <w:r>
      <w:rPr>
        <w:rFonts w:ascii="Arial" w:cs="Arial" w:eastAsia="Arial" w:hAnsi="Arial"/>
        <w:i/>
        <w:iCs/>
        <w:color w:val="2E86C1"/>
        <w:sz w:val="16"/>
        <w:szCs w:val="16"/>
      </w:rPr>
      <w:t xml:space="preserve">AI-First Consulting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2026-03-30T18:29:42.972Z</dcterms:created>
  <dcterms:modified xsi:type="dcterms:W3CDTF">2026-03-30T18:29:42.972Z</dcterms:modified>
</cp:coreProperties>
</file>

<file path=docProps/custom.xml><?xml version="1.0" encoding="utf-8"?>
<Properties xmlns="http://schemas.openxmlformats.org/officeDocument/2006/custom-properties" xmlns:vt="http://schemas.openxmlformats.org/officeDocument/2006/docPropsVTypes"/>
</file>