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Propostas para o debate sobre políticas municipais</w:t>
      </w:r>
    </w:p>
    <w:p>
      <w:r>
        <w:t>Pautas escolhidas 1B, 2A, 3A, 4C e 5B</w:t>
      </w:r>
    </w:p>
    <w:p>
      <w:r>
        <w:t>As cinco propostas procuram melhorar a vida nos bairros, ampliar o acesso aos serviços públicos e exigir retorno social dos investimentos do governo. O foco é a atuação municipal, com cooperação de outros governos quando necessária. As formas de financiamento apresentadas são propostas a serem detalhadas conforme os custos e o orçamento disponível.</w:t>
      </w:r>
    </w:p>
    <w:p>
      <w:pPr>
        <w:pStyle w:val="Heading1"/>
      </w:pPr>
      <w:r>
        <w:t>1 Moradia segura para famílias em áreas de risco</w:t>
      </w:r>
    </w:p>
    <w:p>
      <w:r>
        <w:t>Criar um programa que combine obras de proteção onde for possível permanecer com segurança e reassentamento onde o risco não puder ser controlado. A decisão precisa de avaliação técnica e participação dos moradores.</w:t>
      </w:r>
    </w:p>
    <w:p>
      <w:pPr>
        <w:pStyle w:val="ListBullet"/>
      </w:pPr>
      <w:r>
        <w:t>Mapear as áreas de risco e estabelecer uma ordem de atendimento pela gravidade e pela vulnerabilidade das famílias.</w:t>
      </w:r>
    </w:p>
    <w:p>
      <w:pPr>
        <w:pStyle w:val="ListBullet"/>
      </w:pPr>
      <w:r>
        <w:t>Oferecer moradia temporária enquanto a solução definitiva é preparada.</w:t>
      </w:r>
    </w:p>
    <w:p>
      <w:pPr>
        <w:pStyle w:val="ListBullet"/>
      </w:pPr>
      <w:r>
        <w:t>Buscar novas moradias próximas de transporte, escolas, serviços e oportunidades de trabalho.</w:t>
      </w:r>
    </w:p>
    <w:p>
      <w:pPr>
        <w:pStyle w:val="ListBullet"/>
      </w:pPr>
      <w:r>
        <w:t>Recuperar e fiscalizar os terrenos desocupados para evitar novas ocupações.</w:t>
      </w:r>
    </w:p>
    <w:p>
      <w:r>
        <w:rPr>
          <w:b/>
        </w:rPr>
        <w:t xml:space="preserve">Financiamento proposto: </w:t>
      </w:r>
      <w:r>
        <w:rPr>
          <w:i w:val="0"/>
        </w:rPr>
        <w:t>Combinar orçamento municipal com recursos estaduais e federais de habitação e prevenção de desastres. O município já tem atribuições de mapear riscos e oferecer moradia temporária às famílias atingidas por desastres [1].</w:t>
      </w:r>
    </w:p>
    <w:p>
      <w:r>
        <w:rPr>
          <w:b/>
        </w:rPr>
        <w:t xml:space="preserve">Argumento central: </w:t>
      </w:r>
      <w:r>
        <w:rPr>
          <w:i w:val="0"/>
        </w:rPr>
        <w:t>Segurança também depende da localização da nova casa. Uma mudança que afasta a família do emprego e da escola pode criar outros problemas.</w:t>
      </w:r>
    </w:p>
    <w:p>
      <w:r>
        <w:rPr>
          <w:b/>
        </w:rPr>
        <w:t xml:space="preserve">Pergunta para o debate: </w:t>
      </w:r>
      <w:r>
        <w:rPr>
          <w:i/>
        </w:rPr>
        <w:t>Se uma família não quiser sair, como conciliar sua participação na decisão com a necessidade de proteger vidas diante de um risco comprovado?</w:t>
      </w:r>
    </w:p>
    <w:p>
      <w:pPr>
        <w:pStyle w:val="Heading1"/>
      </w:pPr>
      <w:r>
        <w:t>2 Transporte público gratuito ou mais barato</w:t>
      </w:r>
    </w:p>
    <w:p>
      <w:r>
        <w:t>Ampliar a gratuidade por etapas, com o objetivo de chegar à tarifa zero, condicionando cada expansão à existência de financiamento e capacidade de atendimento.</w:t>
      </w:r>
    </w:p>
    <w:p>
      <w:pPr>
        <w:pStyle w:val="ListBullet"/>
      </w:pPr>
      <w:r>
        <w:t>Começar pelos grupos para os quais a passagem mais dificulta o acesso a estudo, trabalho e serviços.</w:t>
      </w:r>
    </w:p>
    <w:p>
      <w:pPr>
        <w:pStyle w:val="ListBullet"/>
      </w:pPr>
      <w:r>
        <w:t>Publicar os custos do sistema e os pagamentos às operadoras.</w:t>
      </w:r>
    </w:p>
    <w:p>
      <w:pPr>
        <w:pStyle w:val="ListBullet"/>
      </w:pPr>
      <w:r>
        <w:t>Vincular o subsídio a metas de frequência, pontualidade, acessibilidade e atendimento aos bairros.</w:t>
      </w:r>
    </w:p>
    <w:p>
      <w:pPr>
        <w:pStyle w:val="ListBullet"/>
      </w:pPr>
      <w:r>
        <w:t>Planejar reforço da frota quando a demanda aumentar.</w:t>
      </w:r>
    </w:p>
    <w:p>
      <w:r>
        <w:rPr>
          <w:b/>
        </w:rPr>
        <w:t xml:space="preserve">Financiamento proposto: </w:t>
      </w:r>
      <w:r>
        <w:rPr>
          <w:i w:val="0"/>
        </w:rPr>
        <w:t>Criar uma previsão permanente no orçamento municipal, com fonte de receita definida antes de ampliar o benefício. Gratuidade em dias específicos pode servir como experiência inicial; São Paulo possui um programa municipal aos domingos [2].</w:t>
      </w:r>
    </w:p>
    <w:p>
      <w:r>
        <w:rPr>
          <w:b/>
        </w:rPr>
        <w:t xml:space="preserve">Argumento central: </w:t>
      </w:r>
      <w:r>
        <w:rPr>
          <w:i w:val="0"/>
        </w:rPr>
        <w:t>A proposta precisa garantir tanto o preço acessível quanto a qualidade do serviço. Ônibus gratuito com poucas viagens não resolve o deslocamento.</w:t>
      </w:r>
    </w:p>
    <w:p>
      <w:r>
        <w:rPr>
          <w:b/>
        </w:rPr>
        <w:t xml:space="preserve">Pergunta para o debate: </w:t>
      </w:r>
      <w:r>
        <w:rPr>
          <w:i/>
        </w:rPr>
        <w:t>Com recursos limitados, é melhor oferecer gratuidade para todos ou combinar descontos direcionados com mais ônibus e melhores linhas?</w:t>
      </w:r>
    </w:p>
    <w:p>
      <w:r>
        <w:br w:type="page"/>
      </w:r>
    </w:p>
    <w:p>
      <w:pPr>
        <w:pStyle w:val="Heading1"/>
      </w:pPr>
      <w:r>
        <w:t>3 Saneamento nos bairros menos atendidos e tarifa social</w:t>
      </w:r>
    </w:p>
    <w:p>
      <w:r>
        <w:t>Estabelecer um plano de expansão que priorize necessidade social, risco à saúde e impacto ambiental, com critérios públicos para escolher as primeiras obras.</w:t>
      </w:r>
    </w:p>
    <w:p>
      <w:pPr>
        <w:pStyle w:val="ListBullet"/>
      </w:pPr>
      <w:r>
        <w:t>Divulgar quais regiões não possuem atendimento adequado e o cronograma de expansão.</w:t>
      </w:r>
    </w:p>
    <w:p>
      <w:pPr>
        <w:pStyle w:val="ListBullet"/>
      </w:pPr>
      <w:r>
        <w:t>Garantir que a ampliação da coleta venha acompanhada de tratamento do esgoto.</w:t>
      </w:r>
    </w:p>
    <w:p>
      <w:pPr>
        <w:pStyle w:val="ListBullet"/>
      </w:pPr>
      <w:r>
        <w:t>Prever apoio à ligação das casas de famílias de baixa renda à rede.</w:t>
      </w:r>
    </w:p>
    <w:p>
      <w:pPr>
        <w:pStyle w:val="ListBullet"/>
      </w:pPr>
      <w:r>
        <w:t>Facilitar o acesso à tarifa social.</w:t>
      </w:r>
    </w:p>
    <w:p>
      <w:r>
        <w:rPr>
          <w:b/>
        </w:rPr>
        <w:t xml:space="preserve">Financiamento proposto: </w:t>
      </w:r>
      <w:r>
        <w:rPr>
          <w:i w:val="0"/>
        </w:rPr>
        <w:t>Combinar investimentos do prestador do serviço, recursos públicos e financiamentos para infraestrutura, com metas e fiscalização. A tarifa social de água e esgoto já existe na legislação nacional; a proposta deve garantir sua aplicação e alcance [3].</w:t>
      </w:r>
    </w:p>
    <w:p>
      <w:r>
        <w:rPr>
          <w:b/>
        </w:rPr>
        <w:t xml:space="preserve">Argumento central: </w:t>
      </w:r>
      <w:r>
        <w:rPr>
          <w:i w:val="0"/>
        </w:rPr>
        <w:t>Construir uma rede não basta se as famílias não conseguem pagar pela ligação ou pelo serviço.</w:t>
      </w:r>
    </w:p>
    <w:p>
      <w:r>
        <w:rPr>
          <w:b/>
        </w:rPr>
        <w:t xml:space="preserve">Pergunta para o debate: </w:t>
      </w:r>
      <w:r>
        <w:rPr>
          <w:i/>
        </w:rPr>
        <w:t>Um bairro com maior necessidade deve receber a obra primeiro, mesmo quando atender essa região custa mais por residência?</w:t>
      </w:r>
    </w:p>
    <w:p>
      <w:pPr>
        <w:pStyle w:val="Heading1"/>
      </w:pPr>
      <w:r>
        <w:t>4 Modernização sustentável da indústria com proteção dos trabalhadores</w:t>
      </w:r>
    </w:p>
    <w:p>
      <w:r>
        <w:t>Oferecer apoio à modernização industrial mediante compromissos ambientais e sociais verificáveis.</w:t>
      </w:r>
    </w:p>
    <w:p>
      <w:pPr>
        <w:pStyle w:val="ListBullet"/>
      </w:pPr>
      <w:r>
        <w:t>Apoiar projetos de redução do consumo de energia e água, reaproveitamento de materiais e redução de emissões.</w:t>
      </w:r>
    </w:p>
    <w:p>
      <w:pPr>
        <w:pStyle w:val="ListBullet"/>
      </w:pPr>
      <w:r>
        <w:t>Exigir metas proporcionais ao apoio recebido, com prazos e divulgação dos resultados.</w:t>
      </w:r>
    </w:p>
    <w:p>
      <w:pPr>
        <w:pStyle w:val="ListBullet"/>
      </w:pPr>
      <w:r>
        <w:t>Prever qualificação dos trabalhadores durante a jornada e negociação sobre mudanças nas funções.</w:t>
      </w:r>
    </w:p>
    <w:p>
      <w:pPr>
        <w:pStyle w:val="ListBullet"/>
      </w:pPr>
      <w:r>
        <w:t>Estabelecer consequências para o descumprimento dos compromissos, como suspensão do benefício ou devolução proporcional dos recursos.</w:t>
      </w:r>
    </w:p>
    <w:p>
      <w:r>
        <w:rPr>
          <w:b/>
        </w:rPr>
        <w:t xml:space="preserve">Financiamento proposto: </w:t>
      </w:r>
      <w:r>
        <w:rPr>
          <w:i w:val="0"/>
        </w:rPr>
        <w:t>Combinar participação financeira das empresas, crédito para modernização e apoio municipal limitado à sua capacidade. O Fundo Clima do BNDES possui uma linha de Indústria Verde voltada, entre outras finalidades, à eficiência energética e à descarbonização industrial [4].</w:t>
      </w:r>
    </w:p>
    <w:p>
      <w:r>
        <w:rPr>
          <w:b/>
        </w:rPr>
        <w:t xml:space="preserve">Argumento central: </w:t>
      </w:r>
      <w:r>
        <w:rPr>
          <w:i w:val="0"/>
        </w:rPr>
        <w:t>O apoio público deve produzir benefícios demonstráveis para a sociedade. A proteção dos trabalhadores precisa ter metas e prazo, evitando uma promessa impossível de emprego permanente.</w:t>
      </w:r>
    </w:p>
    <w:p>
      <w:r>
        <w:rPr>
          <w:b/>
        </w:rPr>
        <w:t xml:space="preserve">Pergunta para o debate: </w:t>
      </w:r>
      <w:r>
        <w:rPr>
          <w:i/>
        </w:rPr>
        <w:t>Quanto apoio uma empresa deve receber, e quais compromissos de emprego, qualificação e redução da poluição devem ser exigidos em troca?</w:t>
      </w:r>
    </w:p>
    <w:p>
      <w:r>
        <w:br w:type="page"/>
      </w:r>
    </w:p>
    <w:p>
      <w:pPr>
        <w:pStyle w:val="Heading1"/>
      </w:pPr>
      <w:r>
        <w:t>5 Escolas abertas para cultura esporte e tecnologia</w:t>
      </w:r>
    </w:p>
    <w:p>
      <w:r>
        <w:t>Começar com um programa em escolas de bairros com poucas opções gratuitas, ampliando-o conforme a participação e os resultados.</w:t>
      </w:r>
    </w:p>
    <w:p>
      <w:pPr>
        <w:pStyle w:val="ListBullet"/>
      </w:pPr>
      <w:r>
        <w:t>Oferecer atividades escolhidas com estudantes e moradores: esporte, música, teatro, informática e outras oficinas.</w:t>
      </w:r>
    </w:p>
    <w:p>
      <w:pPr>
        <w:pStyle w:val="ListBullet"/>
      </w:pPr>
      <w:r>
        <w:t>Contratar ou remunerar profissionais para o programa, incluindo limpeza e segurança.</w:t>
      </w:r>
    </w:p>
    <w:p>
      <w:pPr>
        <w:pStyle w:val="ListBullet"/>
      </w:pPr>
      <w:r>
        <w:t>Garantir acessibilidade, materiais e manutenção.</w:t>
      </w:r>
    </w:p>
    <w:p>
      <w:pPr>
        <w:pStyle w:val="ListBullet"/>
      </w:pPr>
      <w:r>
        <w:t>Articular as atividades com a rede de ensino; nas escolas estaduais, buscar acordo com o governo estadual.</w:t>
      </w:r>
    </w:p>
    <w:p>
      <w:r>
        <w:rPr>
          <w:b/>
        </w:rPr>
        <w:t xml:space="preserve">Financiamento proposto: </w:t>
      </w:r>
      <w:r>
        <w:rPr>
          <w:i w:val="0"/>
        </w:rPr>
        <w:t>Utilizar recursos municipais de educação, cultura e esporte, conforme a finalidade de cada despesa, e parcerias com instituições de formação. São Paulo mantém um programa de escolas abertas aos fins de semana com atividades gratuitas e programação baseada nas necessidades da comunidade [5].</w:t>
      </w:r>
    </w:p>
    <w:p>
      <w:r>
        <w:rPr>
          <w:b/>
        </w:rPr>
        <w:t xml:space="preserve">Argumento central: </w:t>
      </w:r>
      <w:r>
        <w:rPr>
          <w:i w:val="0"/>
        </w:rPr>
        <w:t>Aproveitar os prédios existentes é interessante, mas abrir as escolas gera custos. O programa precisa de equipe própria e condições de funcionamento.</w:t>
      </w:r>
    </w:p>
    <w:p>
      <w:r>
        <w:rPr>
          <w:b/>
        </w:rPr>
        <w:t xml:space="preserve">Pergunta para o debate: </w:t>
      </w:r>
      <w:r>
        <w:rPr>
          <w:i/>
        </w:rPr>
        <w:t>Como ampliar o uso comunitário das escolas sem sobrecarregar os profissionais nem prejudicar as aulas regulares?</w:t>
      </w:r>
    </w:p>
    <w:p>
      <w:pPr>
        <w:pStyle w:val="Heading1"/>
      </w:pPr>
      <w:r>
        <w:t>Fontes de referência</w:t>
      </w:r>
    </w:p>
    <w:p>
      <w:pPr>
        <w:spacing w:after="100"/>
      </w:pPr>
      <w:r>
        <w:rPr>
          <w:sz w:val="18"/>
        </w:rPr>
        <w:t>[1] BRASIL. Lei nº 12.608, de 10 de abril de 2012. Política Nacional de Proteção e Defesa Civil. Art. 8º.</w:t>
      </w:r>
      <w:r>
        <w:t xml:space="preserve"> </w:t>
      </w:r>
      <w:hyperlink r:id="rId9">
        <w:r>
          <w:rPr>
            <w:color w:val="000000"/>
            <w:sz w:val="18"/>
            <w:u w:val="single"/>
          </w:rPr>
          <w:t>Consultar fonte</w:t>
        </w:r>
      </w:hyperlink>
    </w:p>
    <w:p>
      <w:pPr>
        <w:spacing w:after="100"/>
      </w:pPr>
      <w:r>
        <w:rPr>
          <w:sz w:val="18"/>
        </w:rPr>
        <w:t>[2] SÃO PAULO. Decreto nº 63.019, de 12 de dezembro de 2023. Programa Domingão Tarifa Zero.</w:t>
      </w:r>
      <w:r>
        <w:t xml:space="preserve"> </w:t>
      </w:r>
      <w:hyperlink r:id="rId10">
        <w:r>
          <w:rPr>
            <w:color w:val="000000"/>
            <w:sz w:val="18"/>
            <w:u w:val="single"/>
          </w:rPr>
          <w:t>Consultar fonte</w:t>
        </w:r>
      </w:hyperlink>
    </w:p>
    <w:p>
      <w:pPr>
        <w:spacing w:after="100"/>
      </w:pPr>
      <w:r>
        <w:rPr>
          <w:sz w:val="18"/>
        </w:rPr>
        <w:t>[3] AGÊNCIA NACIONAL DE ÁGUAS E SANEAMENTO BÁSICO. Tarifa Social de Água e Esgoto.</w:t>
      </w:r>
      <w:r>
        <w:t xml:space="preserve"> </w:t>
      </w:r>
      <w:hyperlink r:id="rId11">
        <w:r>
          <w:rPr>
            <w:color w:val="000000"/>
            <w:sz w:val="18"/>
            <w:u w:val="single"/>
          </w:rPr>
          <w:t>Consultar fonte</w:t>
        </w:r>
      </w:hyperlink>
    </w:p>
    <w:p>
      <w:pPr>
        <w:spacing w:after="100"/>
      </w:pPr>
      <w:r>
        <w:rPr>
          <w:sz w:val="18"/>
        </w:rPr>
        <w:t>[4] BNDES. Fundo Clima Indústria Verde.</w:t>
      </w:r>
      <w:r>
        <w:t xml:space="preserve"> </w:t>
      </w:r>
      <w:hyperlink r:id="rId12">
        <w:r>
          <w:rPr>
            <w:color w:val="000000"/>
            <w:sz w:val="18"/>
            <w:u w:val="single"/>
          </w:rPr>
          <w:t>Consultar fonte</w:t>
        </w:r>
      </w:hyperlink>
    </w:p>
    <w:p>
      <w:pPr>
        <w:spacing w:after="100"/>
      </w:pPr>
      <w:r>
        <w:rPr>
          <w:sz w:val="18"/>
        </w:rPr>
        <w:t>[5] SÃO PAULO. Secretaria Municipal de Educação. Programa Escola Aberta SP.</w:t>
      </w:r>
      <w:r>
        <w:t xml:space="preserve"> </w:t>
      </w:r>
      <w:hyperlink r:id="rId13">
        <w:r>
          <w:rPr>
            <w:color w:val="000000"/>
            <w:sz w:val="18"/>
            <w:u w:val="single"/>
          </w:rPr>
          <w:t>Consultar fonte</w:t>
        </w:r>
      </w:hyperlink>
    </w:p>
    <w:p>
      <w:r>
        <w:rPr>
          <w:sz w:val="18"/>
        </w:rPr>
        <w:t>Fontes consultadas em 14 de outubro de 2026.</w:t>
      </w:r>
    </w:p>
    <w:sectPr w:rsidR="00FC693F" w:rsidRPr="0006063C" w:rsidSect="00034616"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0" w:line="247" w:lineRule="auto"/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lanalto.gov.br/ccivil_03/_ato2011-2014/2012/lei/l12608.htm" TargetMode="External"/><Relationship Id="rId10" Type="http://schemas.openxmlformats.org/officeDocument/2006/relationships/hyperlink" Target="https://legislacao.prefeitura.sp.gov.br/decreto-63019-de-12-dezembro-de-2023/consolidado" TargetMode="External"/><Relationship Id="rId11" Type="http://schemas.openxmlformats.org/officeDocument/2006/relationships/hyperlink" Target="https://www.gov.br/ana/pt-br/assuntos/saneamento-basico/tarifa-social-de-agua-e-esgoto" TargetMode="External"/><Relationship Id="rId12" Type="http://schemas.openxmlformats.org/officeDocument/2006/relationships/hyperlink" Target="https://www.bndes.gov.br/wps/portal/site/home/financiamento/produto/fundo-clima/fundo-clima-industria-verde" TargetMode="External"/><Relationship Id="rId13" Type="http://schemas.openxmlformats.org/officeDocument/2006/relationships/hyperlink" Target="https://educacao.sme.prefeitura.sp.gov.br/coceu/programa-escola-aberta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Propostas para o debate sobre políticas municipais</dc:title>
  <dc:subject>Moradia, transporte, saneamento, indústria e oportunidades para a juventude</dc:subject>
  <dc:creator/>
  <cp:keywords>debate, políticas públicas, município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