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jc w:val="center"/>
      </w:pPr>
      <w:r>
        <w:rPr>
          <w:rFonts w:ascii="Times New Roman" w:hAnsi="Times New Roman"/>
          <w:b/>
          <w:i w:val="0"/>
          <w:color w:val="000000"/>
          <w:sz w:val="36"/>
        </w:rPr>
        <w:t>UNIVERSIDAD NACIONAL DE SAN CRISTÓBAL DE HUAMANGA</w:t>
      </w:r>
    </w:p>
    <w:p>
      <w:pPr>
        <w:spacing w:line="276" w:lineRule="auto" w:before="0" w:after="40"/>
        <w:jc w:val="center"/>
      </w:pPr>
      <w:r>
        <w:rPr>
          <w:rFonts w:ascii="Times New Roman" w:hAnsi="Times New Roman"/>
          <w:b/>
          <w:i w:val="0"/>
          <w:color w:val="000000"/>
          <w:sz w:val="30"/>
        </w:rPr>
        <w:t>FACULTAD DE CIENCIAS DE LA SALUD</w:t>
      </w:r>
    </w:p>
    <w:p>
      <w:pPr>
        <w:spacing w:line="276" w:lineRule="auto" w:before="0" w:after="80"/>
        <w:jc w:val="center"/>
      </w:pPr>
      <w:r>
        <w:rPr>
          <w:rFonts w:ascii="Times New Roman" w:hAnsi="Times New Roman"/>
          <w:b/>
          <w:i w:val="0"/>
          <w:color w:val="000000"/>
          <w:sz w:val="30"/>
        </w:rPr>
        <w:t>ESCUELA PROFESIONAL DE ENFERMERÍA</w:t>
      </w:r>
    </w:p>
    <w:p>
      <w:pPr>
        <w:spacing w:before="40" w:after="120"/>
        <w:jc w:val="center"/>
      </w:pPr>
      <w:r>
        <w:drawing>
          <wp:inline xmlns:a="http://schemas.openxmlformats.org/drawingml/2006/main" xmlns:pic="http://schemas.openxmlformats.org/drawingml/2006/picture">
            <wp:extent cx="1890000" cy="2520000"/>
            <wp:docPr id="1" name="Picture 1"/>
            <wp:cNvGraphicFramePr>
              <a:graphicFrameLocks noChangeAspect="1"/>
            </wp:cNvGraphicFramePr>
            <a:graphic>
              <a:graphicData uri="http://schemas.openxmlformats.org/drawingml/2006/picture">
                <pic:pic>
                  <pic:nvPicPr>
                    <pic:cNvPr id="0" name="escudo_unsch.jpeg"/>
                    <pic:cNvPicPr/>
                  </pic:nvPicPr>
                  <pic:blipFill>
                    <a:blip r:embed="rId11"/>
                    <a:stretch>
                      <a:fillRect/>
                    </a:stretch>
                  </pic:blipFill>
                  <pic:spPr>
                    <a:xfrm>
                      <a:off x="0" y="0"/>
                      <a:ext cx="1890000" cy="2520000"/>
                    </a:xfrm>
                    <a:prstGeom prst="rect"/>
                  </pic:spPr>
                </pic:pic>
              </a:graphicData>
            </a:graphic>
          </wp:inline>
        </w:drawing>
      </w:r>
    </w:p>
    <w:p>
      <w:pPr>
        <w:spacing w:line="276" w:lineRule="auto" w:before="0" w:after="80"/>
        <w:jc w:val="center"/>
      </w:pPr>
      <w:r>
        <w:rPr>
          <w:rFonts w:ascii="Times New Roman" w:hAnsi="Times New Roman"/>
          <w:b/>
          <w:i w:val="0"/>
          <w:color w:val="000000"/>
          <w:sz w:val="32"/>
        </w:rPr>
        <w:t>PROYECTO DE INVESTIGACIÓN CON ENFOQUE CUALITATIVO</w:t>
      </w:r>
    </w:p>
    <w:p>
      <w:pPr>
        <w:spacing w:line="276" w:lineRule="auto" w:before="0" w:after="120"/>
        <w:jc w:val="center"/>
      </w:pPr>
      <w:r>
        <w:rPr>
          <w:rFonts w:ascii="Times New Roman" w:hAnsi="Times New Roman"/>
          <w:b/>
          <w:i w:val="0"/>
          <w:color w:val="000000"/>
          <w:sz w:val="30"/>
        </w:rPr>
        <w:t>Percepción de la Calidad de Atención en Usuarios del Centro de Salud Belén, Ayacucho 2026</w:t>
      </w:r>
    </w:p>
    <w:p>
      <w:pPr>
        <w:spacing w:line="276" w:lineRule="auto" w:before="0" w:after="20"/>
        <w:jc w:val="center"/>
      </w:pPr>
      <w:r>
        <w:rPr>
          <w:rFonts w:ascii="Times New Roman" w:hAnsi="Times New Roman"/>
          <w:b w:val="0"/>
          <w:i w:val="0"/>
          <w:color w:val="000000"/>
          <w:sz w:val="30"/>
        </w:rPr>
        <w:t>Para optar el título profesional de:</w:t>
      </w:r>
    </w:p>
    <w:p>
      <w:pPr>
        <w:spacing w:line="276" w:lineRule="auto" w:before="0" w:after="120"/>
        <w:jc w:val="center"/>
      </w:pPr>
      <w:r>
        <w:rPr>
          <w:rFonts w:ascii="Times New Roman" w:hAnsi="Times New Roman"/>
          <w:b/>
          <w:i w:val="0"/>
          <w:color w:val="000000"/>
          <w:sz w:val="30"/>
        </w:rPr>
        <w:t>LICENCIADA EN ENFERMERÍA</w:t>
      </w:r>
    </w:p>
    <w:p>
      <w:pPr>
        <w:spacing w:line="276" w:lineRule="auto" w:before="0" w:after="40"/>
        <w:jc w:val="center"/>
      </w:pPr>
      <w:r>
        <w:rPr>
          <w:rFonts w:ascii="Times New Roman" w:hAnsi="Times New Roman"/>
          <w:b/>
          <w:i w:val="0"/>
          <w:color w:val="000000"/>
          <w:sz w:val="28"/>
        </w:rPr>
        <w:t>PRESENTADO POR:</w:t>
      </w:r>
    </w:p>
    <w:p>
      <w:pPr>
        <w:spacing w:line="276" w:lineRule="auto" w:before="0" w:after="20"/>
        <w:jc w:val="center"/>
      </w:pPr>
      <w:r>
        <w:rPr>
          <w:rFonts w:ascii="Times New Roman" w:hAnsi="Times New Roman"/>
          <w:b w:val="0"/>
          <w:i w:val="0"/>
          <w:color w:val="000000"/>
          <w:sz w:val="30"/>
        </w:rPr>
        <w:t>Bach. Gresly Lucero PARIONA PALOMINO</w:t>
      </w:r>
    </w:p>
    <w:p>
      <w:pPr>
        <w:spacing w:line="276" w:lineRule="auto" w:before="0" w:after="100"/>
        <w:jc w:val="center"/>
      </w:pPr>
      <w:r>
        <w:rPr>
          <w:rFonts w:ascii="Times New Roman" w:hAnsi="Times New Roman"/>
          <w:b w:val="0"/>
          <w:i w:val="0"/>
          <w:color w:val="000000"/>
          <w:sz w:val="19"/>
        </w:rPr>
        <w:t>ORCID: 0009-0008-5421-9872</w:t>
      </w:r>
    </w:p>
    <w:p>
      <w:pPr>
        <w:spacing w:line="276" w:lineRule="auto" w:before="0" w:after="40"/>
        <w:jc w:val="center"/>
      </w:pPr>
      <w:r>
        <w:rPr>
          <w:rFonts w:ascii="Times New Roman" w:hAnsi="Times New Roman"/>
          <w:b/>
          <w:i w:val="0"/>
          <w:color w:val="000000"/>
          <w:sz w:val="28"/>
        </w:rPr>
        <w:t>ASESOR:</w:t>
      </w:r>
    </w:p>
    <w:p>
      <w:pPr>
        <w:spacing w:line="276" w:lineRule="auto" w:before="0" w:after="20"/>
        <w:jc w:val="center"/>
      </w:pPr>
      <w:r>
        <w:rPr>
          <w:rFonts w:ascii="Times New Roman" w:hAnsi="Times New Roman"/>
          <w:b w:val="0"/>
          <w:i w:val="0"/>
          <w:color w:val="000000"/>
          <w:sz w:val="30"/>
        </w:rPr>
        <w:t>Dr. Manglio AGUIRRE ANDRADE</w:t>
      </w:r>
    </w:p>
    <w:p>
      <w:pPr>
        <w:spacing w:line="276" w:lineRule="auto" w:before="0" w:after="120"/>
        <w:jc w:val="center"/>
      </w:pPr>
      <w:r>
        <w:rPr>
          <w:rFonts w:ascii="Times New Roman" w:hAnsi="Times New Roman"/>
          <w:b w:val="0"/>
          <w:i w:val="0"/>
          <w:color w:val="000000"/>
          <w:sz w:val="19"/>
        </w:rPr>
        <w:t>ORCID: 0000-0001-8234-567X</w:t>
      </w:r>
    </w:p>
    <w:p>
      <w:pPr>
        <w:spacing w:before="0" w:after="40"/>
        <w:jc w:val="center"/>
      </w:pPr>
      <w:r>
        <w:rPr>
          <w:rFonts w:ascii="Times New Roman" w:hAnsi="Times New Roman"/>
          <w:b/>
          <w:i w:val="0"/>
          <w:color w:val="000000"/>
          <w:sz w:val="28"/>
        </w:rPr>
        <w:t>AYACUCHO – PERÚ</w:t>
      </w:r>
    </w:p>
    <w:p>
      <w:pPr>
        <w:spacing w:before="0" w:after="0"/>
        <w:jc w:val="center"/>
      </w:pPr>
      <w:r>
        <w:rPr>
          <w:rFonts w:ascii="Times New Roman" w:hAnsi="Times New Roman"/>
          <w:b/>
          <w:i w:val="0"/>
          <w:color w:val="000000"/>
          <w:sz w:val="28"/>
        </w:rPr>
        <w:t>2026</w:t>
      </w:r>
    </w:p>
    <w:p>
      <w:pPr>
        <w:sectPr>
          <w:headerReference w:type="default" r:id="rId9"/>
          <w:footerReference w:type="default" r:id="rId10"/>
          <w:headerReference w:type="first" r:id="rId14"/>
          <w:footerReference w:type="first" r:id="rId15"/>
          <w:pgSz w:w="11906" w:h="16838"/>
          <w:pgMar w:top="1701" w:right="1417" w:bottom="1701" w:left="1984" w:header="720" w:footer="720" w:gutter="0"/>
          <w:cols w:space="720"/>
          <w:docGrid w:linePitch="360"/>
        </w:sectPr>
      </w:pPr>
    </w:p>
    <w:p>
      <w:pPr>
        <w:spacing w:before="0" w:after="320"/>
        <w:jc w:val="left"/>
      </w:pPr>
      <w:r>
        <w:rPr>
          <w:rFonts w:ascii="Times New Roman" w:hAnsi="Times New Roman"/>
          <w:b/>
          <w:i w:val="0"/>
          <w:color w:val="000000"/>
          <w:sz w:val="28"/>
        </w:rPr>
        <w:t>ÍNDICE GENERAL</w:t>
      </w:r>
    </w:p>
    <w:p>
      <w:pPr>
        <w:tabs>
          <w:tab w:pos="8504" w:val="right" w:leader="dot"/>
        </w:tabs>
        <w:spacing w:before="40" w:after="80" w:line="276" w:lineRule="auto"/>
        <w:jc w:val="left"/>
      </w:pPr>
      <w:r>
        <w:rPr>
          <w:rFonts w:ascii="Times New Roman" w:hAnsi="Times New Roman"/>
          <w:b/>
          <w:i w:val="0"/>
          <w:color w:val="000000"/>
          <w:sz w:val="23"/>
        </w:rPr>
        <w:t>INTRODUCCIÓN</w:t>
        <w:tab/>
      </w:r>
      <w:r>
        <w:rPr>
          <w:rFonts w:ascii="Times New Roman" w:hAnsi="Times New Roman"/>
          <w:b/>
          <w:i w:val="0"/>
          <w:color w:val="000000"/>
          <w:sz w:val="23"/>
        </w:rPr>
        <w:t>1</w:t>
      </w:r>
    </w:p>
    <w:p>
      <w:pPr>
        <w:tabs>
          <w:tab w:pos="8504" w:val="right" w:leader="dot"/>
        </w:tabs>
        <w:spacing w:before="40" w:after="80" w:line="276" w:lineRule="auto"/>
        <w:jc w:val="left"/>
      </w:pPr>
      <w:r>
        <w:rPr>
          <w:rFonts w:ascii="Times New Roman" w:hAnsi="Times New Roman"/>
          <w:b/>
          <w:i w:val="0"/>
          <w:color w:val="000000"/>
          <w:sz w:val="23"/>
        </w:rPr>
        <w:t>CAPÍTULO I: EL PROBLEMA DE INVESTIGACIÓN</w:t>
        <w:tab/>
      </w:r>
      <w:r>
        <w:rPr>
          <w:rFonts w:ascii="Times New Roman" w:hAnsi="Times New Roman"/>
          <w:b/>
          <w:i w:val="0"/>
          <w:color w:val="000000"/>
          <w:sz w:val="23"/>
        </w:rPr>
        <w:t>3</w:t>
      </w:r>
    </w:p>
    <w:p>
      <w:pPr>
        <w:tabs>
          <w:tab w:pos="8504" w:val="right" w:leader="dot"/>
        </w:tabs>
        <w:spacing w:before="0" w:after="60" w:line="276" w:lineRule="auto"/>
        <w:jc w:val="left"/>
      </w:pPr>
      <w:r>
        <w:rPr>
          <w:rFonts w:ascii="Times New Roman" w:hAnsi="Times New Roman"/>
          <w:b w:val="0"/>
          <w:i w:val="0"/>
          <w:color w:val="000000"/>
          <w:sz w:val="22"/>
        </w:rPr>
        <w:t xml:space="preserve">    1.1. Descripción de la realidad problemática</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1.2. Formulación del problema (Preguntas norteadoras)</w:t>
        <w:tab/>
      </w:r>
      <w:r>
        <w:rPr>
          <w:rFonts w:ascii="Times New Roman" w:hAnsi="Times New Roman"/>
          <w:b w:val="0"/>
          <w:i w:val="0"/>
          <w:color w:val="000000"/>
          <w:sz w:val="22"/>
        </w:rPr>
        <w:t>4</w:t>
      </w:r>
    </w:p>
    <w:p>
      <w:pPr>
        <w:tabs>
          <w:tab w:pos="8504" w:val="right" w:leader="dot"/>
        </w:tabs>
        <w:spacing w:before="0" w:after="60" w:line="276" w:lineRule="auto"/>
        <w:jc w:val="left"/>
      </w:pPr>
      <w:r>
        <w:rPr>
          <w:rFonts w:ascii="Times New Roman" w:hAnsi="Times New Roman"/>
          <w:b w:val="0"/>
          <w:i w:val="0"/>
          <w:color w:val="000000"/>
          <w:sz w:val="22"/>
        </w:rPr>
        <w:t xml:space="preserve">    1.3. Objetivos de la investigación</w:t>
        <w:tab/>
      </w:r>
      <w:r>
        <w:rPr>
          <w:rFonts w:ascii="Times New Roman" w:hAnsi="Times New Roman"/>
          <w:b w:val="0"/>
          <w:i w:val="0"/>
          <w:color w:val="000000"/>
          <w:sz w:val="22"/>
        </w:rPr>
        <w:t>5</w:t>
      </w:r>
    </w:p>
    <w:p>
      <w:pPr>
        <w:tabs>
          <w:tab w:pos="8504" w:val="right" w:leader="dot"/>
        </w:tabs>
        <w:spacing w:before="0" w:after="60" w:line="276" w:lineRule="auto"/>
        <w:jc w:val="left"/>
      </w:pPr>
      <w:r>
        <w:rPr>
          <w:rFonts w:ascii="Times New Roman" w:hAnsi="Times New Roman"/>
          <w:b w:val="0"/>
          <w:i w:val="0"/>
          <w:color w:val="000000"/>
          <w:sz w:val="22"/>
        </w:rPr>
        <w:t xml:space="preserve">    1.4. Supuestos fenomenológicos de la investigación</w:t>
        <w:tab/>
      </w:r>
      <w:r>
        <w:rPr>
          <w:rFonts w:ascii="Times New Roman" w:hAnsi="Times New Roman"/>
          <w:b w:val="0"/>
          <w:i w:val="0"/>
          <w:color w:val="000000"/>
          <w:sz w:val="22"/>
        </w:rPr>
        <w:t>5</w:t>
      </w:r>
    </w:p>
    <w:p>
      <w:pPr>
        <w:tabs>
          <w:tab w:pos="8504" w:val="right" w:leader="dot"/>
        </w:tabs>
        <w:spacing w:before="0" w:after="60" w:line="276" w:lineRule="auto"/>
        <w:jc w:val="left"/>
      </w:pPr>
      <w:r>
        <w:rPr>
          <w:rFonts w:ascii="Times New Roman" w:hAnsi="Times New Roman"/>
          <w:b w:val="0"/>
          <w:i w:val="0"/>
          <w:color w:val="000000"/>
          <w:sz w:val="22"/>
        </w:rPr>
        <w:t xml:space="preserve">    1.5. Justificación e importancia de la investigación</w:t>
        <w:tab/>
      </w:r>
      <w:r>
        <w:rPr>
          <w:rFonts w:ascii="Times New Roman" w:hAnsi="Times New Roman"/>
          <w:b w:val="0"/>
          <w:i w:val="0"/>
          <w:color w:val="000000"/>
          <w:sz w:val="22"/>
        </w:rPr>
        <w:t>6</w:t>
      </w:r>
    </w:p>
    <w:p>
      <w:pPr>
        <w:tabs>
          <w:tab w:pos="8504" w:val="right" w:leader="dot"/>
        </w:tabs>
        <w:spacing w:before="0" w:after="60" w:line="276" w:lineRule="auto"/>
        <w:jc w:val="left"/>
      </w:pPr>
      <w:r>
        <w:rPr>
          <w:rFonts w:ascii="Times New Roman" w:hAnsi="Times New Roman"/>
          <w:b w:val="0"/>
          <w:i w:val="0"/>
          <w:color w:val="000000"/>
          <w:sz w:val="22"/>
        </w:rPr>
        <w:t xml:space="preserve">    1.6. Delimitaciones y limitaciones del estudio</w:t>
        <w:tab/>
      </w:r>
      <w:r>
        <w:rPr>
          <w:rFonts w:ascii="Times New Roman" w:hAnsi="Times New Roman"/>
          <w:b w:val="0"/>
          <w:i w:val="0"/>
          <w:color w:val="000000"/>
          <w:sz w:val="22"/>
        </w:rPr>
        <w:t>7</w:t>
      </w:r>
    </w:p>
    <w:p>
      <w:pPr>
        <w:tabs>
          <w:tab w:pos="8504" w:val="right" w:leader="dot"/>
        </w:tabs>
        <w:spacing w:before="0" w:after="80" w:line="276" w:lineRule="auto"/>
        <w:jc w:val="left"/>
      </w:pPr>
      <w:r>
        <w:rPr>
          <w:rFonts w:ascii="Times New Roman" w:hAnsi="Times New Roman"/>
          <w:b w:val="0"/>
          <w:i w:val="0"/>
          <w:color w:val="000000"/>
          <w:sz w:val="22"/>
        </w:rPr>
        <w:t xml:space="preserve">    1.7. Viabilidad y consideraciones bioéticas</w:t>
        <w:tab/>
      </w:r>
      <w:r>
        <w:rPr>
          <w:rFonts w:ascii="Times New Roman" w:hAnsi="Times New Roman"/>
          <w:b w:val="0"/>
          <w:i w:val="0"/>
          <w:color w:val="000000"/>
          <w:sz w:val="22"/>
        </w:rPr>
        <w:t>8</w:t>
      </w:r>
    </w:p>
    <w:p>
      <w:pPr>
        <w:tabs>
          <w:tab w:pos="8504" w:val="right" w:leader="dot"/>
        </w:tabs>
        <w:spacing w:before="40" w:after="80" w:line="276" w:lineRule="auto"/>
        <w:jc w:val="left"/>
      </w:pPr>
      <w:r>
        <w:rPr>
          <w:rFonts w:ascii="Times New Roman" w:hAnsi="Times New Roman"/>
          <w:b/>
          <w:i w:val="0"/>
          <w:color w:val="000000"/>
          <w:sz w:val="23"/>
        </w:rPr>
        <w:t>CAPÍTULO II: MARCO CONTEXTUAL</w:t>
        <w:tab/>
      </w:r>
      <w:r>
        <w:rPr>
          <w:rFonts w:ascii="Times New Roman" w:hAnsi="Times New Roman"/>
          <w:b/>
          <w:i w:val="0"/>
          <w:color w:val="000000"/>
          <w:sz w:val="23"/>
        </w:rPr>
        <w:t>9</w:t>
      </w:r>
    </w:p>
    <w:p>
      <w:pPr>
        <w:tabs>
          <w:tab w:pos="8504" w:val="right" w:leader="dot"/>
        </w:tabs>
        <w:spacing w:before="0" w:after="60" w:line="276" w:lineRule="auto"/>
        <w:jc w:val="left"/>
      </w:pPr>
      <w:r>
        <w:rPr>
          <w:rFonts w:ascii="Times New Roman" w:hAnsi="Times New Roman"/>
          <w:b w:val="0"/>
          <w:i w:val="0"/>
          <w:color w:val="000000"/>
          <w:sz w:val="22"/>
        </w:rPr>
        <w:t xml:space="preserve">    2.1. Descripción geográfica, territorial y ambiental del área de estudio</w:t>
        <w:tab/>
      </w:r>
      <w:r>
        <w:rPr>
          <w:rFonts w:ascii="Times New Roman" w:hAnsi="Times New Roman"/>
          <w:b w:val="0"/>
          <w:i w:val="0"/>
          <w:color w:val="000000"/>
          <w:sz w:val="22"/>
        </w:rPr>
        <w:t>9</w:t>
      </w:r>
    </w:p>
    <w:p>
      <w:pPr>
        <w:tabs>
          <w:tab w:pos="8504" w:val="right" w:leader="dot"/>
        </w:tabs>
        <w:spacing w:before="0" w:after="60" w:line="276" w:lineRule="auto"/>
        <w:jc w:val="left"/>
      </w:pPr>
      <w:r>
        <w:rPr>
          <w:rFonts w:ascii="Times New Roman" w:hAnsi="Times New Roman"/>
          <w:b w:val="0"/>
          <w:i w:val="0"/>
          <w:color w:val="000000"/>
          <w:sz w:val="22"/>
        </w:rPr>
        <w:t xml:space="preserve">    2.2. Características demográficas y estructura poblacional</w:t>
        <w:tab/>
      </w:r>
      <w:r>
        <w:rPr>
          <w:rFonts w:ascii="Times New Roman" w:hAnsi="Times New Roman"/>
          <w:b w:val="0"/>
          <w:i w:val="0"/>
          <w:color w:val="000000"/>
          <w:sz w:val="22"/>
        </w:rPr>
        <w:t>10</w:t>
      </w:r>
    </w:p>
    <w:p>
      <w:pPr>
        <w:tabs>
          <w:tab w:pos="8504" w:val="right" w:leader="dot"/>
        </w:tabs>
        <w:spacing w:before="0" w:after="60" w:line="276" w:lineRule="auto"/>
        <w:jc w:val="left"/>
      </w:pPr>
      <w:r>
        <w:rPr>
          <w:rFonts w:ascii="Times New Roman" w:hAnsi="Times New Roman"/>
          <w:b w:val="0"/>
          <w:i w:val="0"/>
          <w:color w:val="000000"/>
          <w:sz w:val="22"/>
        </w:rPr>
        <w:t xml:space="preserve">    2.3. Características socioculturales, lingüísticas y cosmovisión andina</w:t>
        <w:tab/>
      </w:r>
      <w:r>
        <w:rPr>
          <w:rFonts w:ascii="Times New Roman" w:hAnsi="Times New Roman"/>
          <w:b w:val="0"/>
          <w:i w:val="0"/>
          <w:color w:val="000000"/>
          <w:sz w:val="22"/>
        </w:rPr>
        <w:t>11</w:t>
      </w:r>
    </w:p>
    <w:p>
      <w:pPr>
        <w:tabs>
          <w:tab w:pos="8504" w:val="right" w:leader="dot"/>
        </w:tabs>
        <w:spacing w:before="0" w:after="60" w:line="276" w:lineRule="auto"/>
        <w:jc w:val="left"/>
      </w:pPr>
      <w:r>
        <w:rPr>
          <w:rFonts w:ascii="Times New Roman" w:hAnsi="Times New Roman"/>
          <w:b w:val="0"/>
          <w:i w:val="0"/>
          <w:color w:val="000000"/>
          <w:sz w:val="22"/>
        </w:rPr>
        <w:t xml:space="preserve">    2.4. Dinámica socioeconómica, vulnerabilidad y nivel de aseguramiento público</w:t>
        <w:tab/>
      </w:r>
      <w:r>
        <w:rPr>
          <w:rFonts w:ascii="Times New Roman" w:hAnsi="Times New Roman"/>
          <w:b w:val="0"/>
          <w:i w:val="0"/>
          <w:color w:val="000000"/>
          <w:sz w:val="22"/>
        </w:rPr>
        <w:t>12</w:t>
      </w:r>
    </w:p>
    <w:p>
      <w:pPr>
        <w:tabs>
          <w:tab w:pos="8504" w:val="right" w:leader="dot"/>
        </w:tabs>
        <w:spacing w:before="0" w:after="60" w:line="276" w:lineRule="auto"/>
        <w:jc w:val="left"/>
      </w:pPr>
      <w:r>
        <w:rPr>
          <w:rFonts w:ascii="Times New Roman" w:hAnsi="Times New Roman"/>
          <w:b w:val="0"/>
          <w:i w:val="0"/>
          <w:color w:val="000000"/>
          <w:sz w:val="22"/>
        </w:rPr>
        <w:t xml:space="preserve">    2.5. Características sanitarias, cartera de servicios y capacidad resolutiva institucional</w:t>
        <w:tab/>
      </w:r>
      <w:r>
        <w:rPr>
          <w:rFonts w:ascii="Times New Roman" w:hAnsi="Times New Roman"/>
          <w:b w:val="0"/>
          <w:i w:val="0"/>
          <w:color w:val="000000"/>
          <w:sz w:val="22"/>
        </w:rPr>
        <w:t>13</w:t>
      </w:r>
    </w:p>
    <w:p>
      <w:pPr>
        <w:tabs>
          <w:tab w:pos="8504" w:val="right" w:leader="dot"/>
        </w:tabs>
        <w:spacing w:before="0" w:after="80" w:line="276" w:lineRule="auto"/>
        <w:jc w:val="left"/>
      </w:pPr>
      <w:r>
        <w:rPr>
          <w:rFonts w:ascii="Times New Roman" w:hAnsi="Times New Roman"/>
          <w:b w:val="0"/>
          <w:i w:val="0"/>
          <w:color w:val="000000"/>
          <w:sz w:val="22"/>
        </w:rPr>
        <w:t xml:space="preserve">    2.6. Articulación dialéctica del escenario físico-social con las dimensiones existenciales del usuario (Lebenswelt)</w:t>
        <w:tab/>
      </w:r>
      <w:r>
        <w:rPr>
          <w:rFonts w:ascii="Times New Roman" w:hAnsi="Times New Roman"/>
          <w:b w:val="0"/>
          <w:i w:val="0"/>
          <w:color w:val="000000"/>
          <w:sz w:val="22"/>
        </w:rPr>
        <w:t>14</w:t>
      </w:r>
    </w:p>
    <w:p>
      <w:pPr>
        <w:tabs>
          <w:tab w:pos="8504" w:val="right" w:leader="dot"/>
        </w:tabs>
        <w:spacing w:before="40" w:after="80" w:line="276" w:lineRule="auto"/>
        <w:jc w:val="left"/>
      </w:pPr>
      <w:r>
        <w:rPr>
          <w:rFonts w:ascii="Times New Roman" w:hAnsi="Times New Roman"/>
          <w:b/>
          <w:i w:val="0"/>
          <w:color w:val="000000"/>
          <w:sz w:val="23"/>
        </w:rPr>
        <w:t>REFERENCIAS BIBLIOGRÁFICAS</w:t>
        <w:tab/>
      </w:r>
      <w:r>
        <w:rPr>
          <w:rFonts w:ascii="Times New Roman" w:hAnsi="Times New Roman"/>
          <w:b/>
          <w:i w:val="0"/>
          <w:color w:val="000000"/>
          <w:sz w:val="23"/>
        </w:rPr>
        <w:t>16</w:t>
      </w:r>
    </w:p>
    <w:p>
      <w:pPr>
        <w:tabs>
          <w:tab w:pos="8504" w:val="right" w:leader="dot"/>
        </w:tabs>
        <w:spacing w:before="40" w:after="80" w:line="276" w:lineRule="auto"/>
        <w:jc w:val="left"/>
      </w:pPr>
      <w:r>
        <w:rPr>
          <w:rFonts w:ascii="Times New Roman" w:hAnsi="Times New Roman"/>
          <w:b/>
          <w:i w:val="0"/>
          <w:color w:val="000000"/>
          <w:sz w:val="23"/>
        </w:rPr>
        <w:t>ANEXOS</w:t>
        <w:tab/>
      </w:r>
      <w:r>
        <w:rPr>
          <w:rFonts w:ascii="Times New Roman" w:hAnsi="Times New Roman"/>
          <w:b/>
          <w:i w:val="0"/>
          <w:color w:val="000000"/>
          <w:sz w:val="23"/>
        </w:rPr>
        <w:t>18</w:t>
      </w:r>
    </w:p>
    <w:p>
      <w:pPr>
        <w:tabs>
          <w:tab w:pos="8504" w:val="right" w:leader="dot"/>
        </w:tabs>
        <w:spacing w:before="0" w:after="60" w:line="276" w:lineRule="auto"/>
        <w:jc w:val="left"/>
      </w:pPr>
      <w:r>
        <w:rPr>
          <w:rFonts w:ascii="Times New Roman" w:hAnsi="Times New Roman"/>
          <w:b w:val="0"/>
          <w:i w:val="0"/>
          <w:color w:val="000000"/>
          <w:sz w:val="22"/>
        </w:rPr>
        <w:t xml:space="preserve">    Anexo 1: Guía de entrevista a profundidad fenomenológica</w:t>
        <w:tab/>
      </w:r>
      <w:r>
        <w:rPr>
          <w:rFonts w:ascii="Times New Roman" w:hAnsi="Times New Roman"/>
          <w:b w:val="0"/>
          <w:i w:val="0"/>
          <w:color w:val="000000"/>
          <w:sz w:val="22"/>
        </w:rPr>
        <w:t>18</w:t>
      </w:r>
    </w:p>
    <w:p>
      <w:pPr>
        <w:tabs>
          <w:tab w:pos="8504" w:val="right" w:leader="dot"/>
        </w:tabs>
        <w:spacing w:before="0" w:after="60" w:line="276" w:lineRule="auto"/>
        <w:jc w:val="left"/>
      </w:pPr>
      <w:r>
        <w:rPr>
          <w:rFonts w:ascii="Times New Roman" w:hAnsi="Times New Roman"/>
          <w:b w:val="0"/>
          <w:i w:val="0"/>
          <w:color w:val="000000"/>
          <w:sz w:val="22"/>
        </w:rPr>
        <w:t xml:space="preserve">    Anexo 2: Matriz de consistencia cualitativa fenomenológica</w:t>
        <w:tab/>
      </w:r>
      <w:r>
        <w:rPr>
          <w:rFonts w:ascii="Times New Roman" w:hAnsi="Times New Roman"/>
          <w:b w:val="0"/>
          <w:i w:val="0"/>
          <w:color w:val="000000"/>
          <w:sz w:val="22"/>
        </w:rPr>
        <w:t>19</w:t>
      </w:r>
    </w:p>
    <w:p>
      <w:pPr>
        <w:tabs>
          <w:tab w:pos="8504" w:val="right" w:leader="dot"/>
        </w:tabs>
        <w:spacing w:before="0" w:after="60" w:line="276" w:lineRule="auto"/>
        <w:jc w:val="left"/>
      </w:pPr>
      <w:r>
        <w:rPr>
          <w:rFonts w:ascii="Times New Roman" w:hAnsi="Times New Roman"/>
          <w:b w:val="0"/>
          <w:i w:val="0"/>
          <w:color w:val="000000"/>
          <w:sz w:val="22"/>
        </w:rPr>
        <w:t xml:space="preserve">    Anexo 3: Formato de juicio de expertos</w:t>
        <w:tab/>
      </w:r>
      <w:r>
        <w:rPr>
          <w:rFonts w:ascii="Times New Roman" w:hAnsi="Times New Roman"/>
          <w:b w:val="0"/>
          <w:i w:val="0"/>
          <w:color w:val="000000"/>
          <w:sz w:val="22"/>
        </w:rPr>
        <w:t>20</w:t>
      </w:r>
    </w:p>
    <w:p>
      <w:pPr>
        <w:tabs>
          <w:tab w:pos="8504" w:val="right" w:leader="dot"/>
        </w:tabs>
        <w:spacing w:before="0" w:after="60" w:line="276" w:lineRule="auto"/>
        <w:jc w:val="left"/>
      </w:pPr>
      <w:r>
        <w:rPr>
          <w:rFonts w:ascii="Times New Roman" w:hAnsi="Times New Roman"/>
          <w:b w:val="0"/>
          <w:i w:val="0"/>
          <w:color w:val="000000"/>
          <w:sz w:val="22"/>
        </w:rPr>
        <w:t xml:space="preserve">    Anexo 4: Consentimiento informado</w:t>
        <w:tab/>
      </w:r>
      <w:r>
        <w:rPr>
          <w:rFonts w:ascii="Times New Roman" w:hAnsi="Times New Roman"/>
          <w:b w:val="0"/>
          <w:i w:val="0"/>
          <w:color w:val="000000"/>
          <w:sz w:val="22"/>
        </w:rPr>
        <w:t>21</w:t>
      </w:r>
    </w:p>
    <w:p>
      <w:pPr>
        <w:tabs>
          <w:tab w:pos="8504" w:val="right" w:leader="dot"/>
        </w:tabs>
        <w:spacing w:before="0" w:after="60" w:line="276" w:lineRule="auto"/>
        <w:jc w:val="left"/>
      </w:pPr>
      <w:r>
        <w:rPr>
          <w:rFonts w:ascii="Times New Roman" w:hAnsi="Times New Roman"/>
          <w:b w:val="0"/>
          <w:i w:val="0"/>
          <w:color w:val="000000"/>
          <w:sz w:val="22"/>
        </w:rPr>
        <w:t xml:space="preserve">    Anexo 5: Carta de asesoría formal</w:t>
        <w:tab/>
      </w:r>
      <w:r>
        <w:rPr>
          <w:rFonts w:ascii="Times New Roman" w:hAnsi="Times New Roman"/>
          <w:b w:val="0"/>
          <w:i w:val="0"/>
          <w:color w:val="000000"/>
          <w:sz w:val="22"/>
        </w:rPr>
        <w:t>22</w:t>
      </w:r>
    </w:p>
    <w:p>
      <w:pPr>
        <w:sectPr>
          <w:headerReference w:type="default" r:id="rId12"/>
          <w:footerReference w:type="default" r:id="rId13"/>
          <w:pgSz w:w="11906" w:h="16838"/>
          <w:pgMar w:top="1701" w:right="1417" w:bottom="1417" w:left="1984" w:header="720" w:footer="720" w:gutter="0"/>
          <w:cols w:space="720"/>
          <w:docGrid w:linePitch="360"/>
          <w:pgNumType w:start="2" w:fmt="lowerRoman"/>
        </w:sectPr>
      </w:pPr>
    </w:p>
    <w:p>
      <w:pPr>
        <w:spacing w:before="0" w:after="200"/>
        <w:jc w:val="left"/>
      </w:pPr>
      <w:r>
        <w:rPr>
          <w:rFonts w:ascii="Times New Roman" w:hAnsi="Times New Roman"/>
          <w:b/>
          <w:i w:val="0"/>
          <w:color w:val="000000"/>
          <w:sz w:val="28"/>
        </w:rPr>
        <w:t>INTRODUCCIÓN</w:t>
      </w:r>
    </w:p>
    <w:p>
      <w:pPr>
        <w:spacing w:line="312" w:lineRule="auto" w:before="0" w:after="80"/>
        <w:ind w:firstLine="720"/>
        <w:jc w:val="both"/>
      </w:pPr>
      <w:r>
        <w:rPr>
          <w:rFonts w:ascii="Times New Roman" w:hAnsi="Times New Roman"/>
          <w:b w:val="0"/>
          <w:i w:val="0"/>
          <w:color w:val="000000"/>
          <w:sz w:val="24"/>
        </w:rPr>
        <w:t>La calidad de atención y el acceso efectivo a los servicios de salud en el primer nivel constituyen pilares insoslayables para la consolidación de la cobertura sanitaria universal y la materialización del derecho humano a la salud. De acuerdo con las directrices conjuntas de la Organización Mundial de la Salud (OMS), la OCDE y el Banco Mundial [1], brindar servicios oportunos, seguros, continuos y centrados en la persona es un imperativo ético indispensable para mitigar las inequidades estructurales en salud. En el contexto de la atención primaria, la percepción del usuario sobre los cuidados y tratos recibidos condiciona el uso oportuno de los servicios, la adherencia a las terapias preventivo-recuperativas y la confianza hacia las instituciones sanitarias. En el Perú, la Política Nacional de Calidad en Salud del Ministerio de Salud (MINSA) [2] reconoce que la persistencia de barreras de acceso y despersonalización debilita la capacidad de respuesta asistencial. En concordancia con los lineamientos metodológicos de la cátedra de Proyecto de Investigación en Salud (EN 486) de la Escuela Profesional de Enfermería (UNSCH), a cargo del Dr. Manglio Aguirre Andrade, la fundamentación del estudio se articula mediante la técnica del embudo en tres niveles y las siguientes dimensiones sustantivas:</w:t>
      </w:r>
    </w:p>
    <w:p>
      <w:pPr>
        <w:spacing w:line="312" w:lineRule="auto" w:before="0" w:after="80"/>
        <w:ind w:firstLine="720"/>
        <w:jc w:val="both"/>
      </w:pPr>
      <w:r>
        <w:rPr>
          <w:rFonts w:ascii="Times New Roman" w:hAnsi="Times New Roman"/>
          <w:b/>
          <w:i w:val="0"/>
          <w:color w:val="000000"/>
          <w:sz w:val="24"/>
        </w:rPr>
        <w:t xml:space="preserve">Importancia del proyecto: </w:t>
      </w:r>
      <w:r>
        <w:rPr>
          <w:rFonts w:ascii="Times New Roman" w:hAnsi="Times New Roman"/>
          <w:b w:val="0"/>
          <w:i w:val="0"/>
          <w:color w:val="000000"/>
          <w:sz w:val="24"/>
        </w:rPr>
        <w:t>El Centro de Salud Belén, ubicado en el distrito de Ayacucho, cumple un rol estratégico como establecimiento cabecera de categoría I-3 que brinda cobertura a más de 18,450 habitantes en condiciones de notable vulnerabilidad socioeconómica. No obstante, persisten brechas asistenciales vinculadas a demoras prolongadas para la obtención de cupos, barreras comunicativas y hacinamiento en salas de espera. Investigar la experiencia vivida del usuario permite develar la dimensión oculta de la calidad asistencial desde la perspectiva de quienes reciben directamente el cuidado, proveyendo a los gestores sanitarios insumos reflexivos para humanizar la atención.</w:t>
      </w:r>
    </w:p>
    <w:p>
      <w:pPr>
        <w:spacing w:line="312" w:lineRule="auto" w:before="0" w:after="80"/>
        <w:ind w:firstLine="720"/>
        <w:jc w:val="both"/>
      </w:pPr>
      <w:r>
        <w:rPr>
          <w:rFonts w:ascii="Times New Roman" w:hAnsi="Times New Roman"/>
          <w:b/>
          <w:i w:val="0"/>
          <w:color w:val="000000"/>
          <w:sz w:val="24"/>
        </w:rPr>
        <w:t xml:space="preserve">Finalidad e impacto (valor práctico y social): </w:t>
      </w:r>
      <w:r>
        <w:rPr>
          <w:rFonts w:ascii="Times New Roman" w:hAnsi="Times New Roman"/>
          <w:b w:val="0"/>
          <w:i w:val="0"/>
          <w:color w:val="000000"/>
          <w:sz w:val="24"/>
        </w:rPr>
        <w:t>El estudio tiene como finalidad práctica comprender en profundidad la vivencia subjetiva del usuario respecto al trato, tiempos de espera, información y privacidad. Sus hallazgos proporcionarán evidencia empírica directa para que el equipo directivo del Centro de Salud Belén, la Red de Salud Huamanga y el cuerpo de enfermería formulen estrategias interpersonales, planes de mejora continua y guías de trato humanizado con pertinencia cultural, orientadas a mitigar cuellos de botella en la atención primaria.</w:t>
      </w:r>
    </w:p>
    <w:p>
      <w:pPr>
        <w:spacing w:line="312" w:lineRule="auto" w:before="0" w:after="80"/>
        <w:ind w:firstLine="720"/>
        <w:jc w:val="both"/>
      </w:pPr>
      <w:r>
        <w:rPr>
          <w:rFonts w:ascii="Times New Roman" w:hAnsi="Times New Roman"/>
          <w:b/>
          <w:i w:val="0"/>
          <w:color w:val="000000"/>
          <w:sz w:val="24"/>
        </w:rPr>
        <w:t xml:space="preserve">Valor teórico y clasificación por propósito: </w:t>
      </w:r>
      <w:r>
        <w:rPr>
          <w:rFonts w:ascii="Times New Roman" w:hAnsi="Times New Roman"/>
          <w:b w:val="0"/>
          <w:i w:val="0"/>
          <w:color w:val="000000"/>
          <w:sz w:val="24"/>
        </w:rPr>
        <w:t>La presente investigación corresponde a una investigación básica (sustantiva) con nivel descriptivo-interpretativo y un riguroso diseño cualitativo fenomenológico [5, 6]. Siguiendo a Roberto Hernández-Sampieri y Christian Mendoza [5], Edmund Husserl [7], Max van Manen [8] y John Creswell [6], su propósito central consiste en explorar, describir y comprender la esencia de las experiencias compartidas (vivencias) de los usuarios frente al fenómeno del acceso y la calidad asistencial en el Centro de Salud Belén, aprehendiendo sus cuatro dimensiones existenciales: temporalidad (tiempo vivido en madrugadas y esperas), espacialidad (espacio vivido en salas y consultorios), corporalidad (cuerpo doliente, fatiga y frío) y relacionalidad (encuentro interpersonal empático y diálogo en quechua chanka). Articula dialógicamente los modelos de Calidad en Salud de Avedis Donabedian [9, 10], la Teoría del Acceso de Roy Penchansky [11] y la Teoría del Cuidado Humano de Jean Watson [12] con la matriz cultural andina de Huamanga.</w:t>
      </w:r>
    </w:p>
    <w:p>
      <w:pPr>
        <w:spacing w:line="312" w:lineRule="auto" w:before="0" w:after="80"/>
        <w:ind w:firstLine="720"/>
        <w:jc w:val="both"/>
      </w:pPr>
      <w:r>
        <w:rPr>
          <w:rFonts w:ascii="Times New Roman" w:hAnsi="Times New Roman"/>
          <w:b/>
          <w:i w:val="0"/>
          <w:color w:val="000000"/>
          <w:sz w:val="24"/>
        </w:rPr>
        <w:t xml:space="preserve">Valor metodológico: </w:t>
      </w:r>
      <w:r>
        <w:rPr>
          <w:rFonts w:ascii="Times New Roman" w:hAnsi="Times New Roman"/>
          <w:b w:val="0"/>
          <w:i w:val="0"/>
          <w:color w:val="000000"/>
          <w:sz w:val="24"/>
        </w:rPr>
        <w:t>En el plano metodológico, el estudio adopta formalmente el diseño fenomenológico fundamentado en Husserl [7] y van Manen [8]. Aporta y valida una guía de entrevista en profundidad y una matriz de categorización temática cualitativa ajustadas a los criterios de rigor científico de Guba y Lincoln [13] (credibilidad, transferibilidad, consistencia y confirmabilidad), aplicando la técnica de triangulación metodológica y de actores clave [14] (usuarios, personal de salud y actores comunitarios).</w:t>
      </w:r>
    </w:p>
    <w:p>
      <w:pPr>
        <w:spacing w:line="312" w:lineRule="auto" w:before="0" w:after="80"/>
        <w:ind w:firstLine="720"/>
        <w:jc w:val="both"/>
      </w:pPr>
      <w:r>
        <w:rPr>
          <w:rFonts w:ascii="Times New Roman" w:hAnsi="Times New Roman"/>
          <w:b/>
          <w:i w:val="0"/>
          <w:color w:val="000000"/>
          <w:sz w:val="24"/>
        </w:rPr>
        <w:t xml:space="preserve">Justificación institucional y bioética: </w:t>
      </w:r>
      <w:r>
        <w:rPr>
          <w:rFonts w:ascii="Times New Roman" w:hAnsi="Times New Roman"/>
          <w:b w:val="0"/>
          <w:i w:val="0"/>
          <w:color w:val="000000"/>
          <w:sz w:val="24"/>
        </w:rPr>
        <w:t>El estudio cumple con los estándares epistemológicos promovidos por la cátedra de EN 486 fundamentados en Mario Bunge [15], respetando de forma irrestricta las normas bioéticas de la Declaración de Helsinki [16] y las pautas internacionales del CIOMS [17]. Asimismo, se alinea con los instrumentos rectores sanitarios: a nivel regional, responde a la Prioridad Regional 10 de la DIRESA Ayacucho 2025–2030 (“Organización, gestión, calidad y accesibilidad de los servicios de salud”) [4]; a nivel nacional, se adscribe a la Línea 10 de Investigación del MINSA al 2030 (“Sistemas y servicios de salud, acceso y cobertura universal”, RM N° 424-2025/MINSA) [3].</w:t>
      </w:r>
    </w:p>
    <w:p>
      <w:pPr>
        <w:sectPr>
          <w:headerReference w:type="default" r:id="rId16"/>
          <w:pgSz w:w="11906" w:h="16838"/>
          <w:pgMar w:top="1701" w:right="1417" w:bottom="1417" w:left="1984" w:header="720" w:footer="720" w:gutter="0"/>
          <w:cols w:space="720"/>
          <w:titlePg/>
          <w:docGrid w:linePitch="360"/>
          <w:pgNumType w:start="1" w:fmt="decimal"/>
        </w:sectPr>
      </w:pPr>
    </w:p>
    <w:p>
      <w:pPr>
        <w:spacing w:before="280" w:after="160"/>
        <w:jc w:val="left"/>
      </w:pPr>
      <w:r>
        <w:rPr>
          <w:rFonts w:ascii="Times New Roman" w:hAnsi="Times New Roman"/>
          <w:b/>
          <w:i w:val="0"/>
          <w:color w:val="000000"/>
          <w:sz w:val="28"/>
        </w:rPr>
        <w:t>CAPÍTULO I: EL PROBLEMA DE INVESTIGACIÓN</w:t>
      </w:r>
    </w:p>
    <w:p>
      <w:pPr>
        <w:spacing w:before="200" w:after="80"/>
        <w:jc w:val="left"/>
      </w:pPr>
      <w:r>
        <w:rPr>
          <w:rFonts w:ascii="Times New Roman" w:hAnsi="Times New Roman"/>
          <w:b/>
          <w:i w:val="0"/>
          <w:color w:val="000000"/>
          <w:sz w:val="24"/>
        </w:rPr>
        <w:t>1.1. Descripción de la realidad problemática</w:t>
      </w:r>
    </w:p>
    <w:p>
      <w:pPr>
        <w:spacing w:line="312" w:lineRule="auto" w:before="0" w:after="80"/>
        <w:ind w:firstLine="720"/>
        <w:jc w:val="both"/>
      </w:pPr>
      <w:r>
        <w:rPr>
          <w:rFonts w:ascii="Times New Roman" w:hAnsi="Times New Roman"/>
          <w:b w:val="0"/>
          <w:i w:val="0"/>
          <w:color w:val="000000"/>
          <w:sz w:val="24"/>
        </w:rPr>
        <w:t>En el marco epistemológico de la investigación cualitativa, tal como sostienen Hernández-Sampieri y Mendoza [5], el planteamiento del problema adopta una naturaleza puramente inductiva y fenomenológica: no parte del aislamiento artificial de variables cuantitativas ni del contraste de hipótesis numéricas preconcebidas, sino de la inmersión vivencial directa en el ambiente natural donde acontecen los fenómenos humanos. Plantear y delimitar un problema cualitativo fenomenológico constituye un proceso reflexivo, dinámico y abierto orientado a capturar la esencia, las emociones, los sentires corpóreos y los significados intersubjetivos que las personas otorgan a sus vivencias en el momento del acto asistencial, siguiendo los fundamentos de Husserl [7] y van Manen [8].</w:t>
      </w:r>
    </w:p>
    <w:p>
      <w:pPr>
        <w:spacing w:line="312" w:lineRule="auto" w:before="0" w:after="80"/>
        <w:ind w:firstLine="720"/>
        <w:jc w:val="both"/>
      </w:pPr>
      <w:r>
        <w:rPr>
          <w:rFonts w:ascii="Times New Roman" w:hAnsi="Times New Roman"/>
          <w:b w:val="0"/>
          <w:i w:val="0"/>
          <w:color w:val="000000"/>
          <w:sz w:val="24"/>
        </w:rPr>
        <w:t>Para tal fin, la metodología demanda un contacto directo y vivencial con la realidad estudiada en su escenario cotidiano. En el presente estudio, el origen de la indagación se sustenta en la observación reflexiva y la experiencia acumulada por la investigadora durante sus prácticas preprofesionales de la Escuela Profesional de Enfermería de la Universidad Nacional de San Cristóbal de Huamanga (UNSCH) en los consultorios del Centro de Salud Belén.</w:t>
      </w:r>
    </w:p>
    <w:p>
      <w:pPr>
        <w:spacing w:line="312" w:lineRule="auto" w:before="0" w:after="80"/>
        <w:ind w:firstLine="720"/>
        <w:jc w:val="both"/>
      </w:pPr>
      <w:r>
        <w:rPr>
          <w:rFonts w:ascii="Times New Roman" w:hAnsi="Times New Roman"/>
          <w:b w:val="0"/>
          <w:i w:val="0"/>
          <w:color w:val="000000"/>
          <w:sz w:val="24"/>
        </w:rPr>
        <w:t>En estricta observancia del canon metodológico de la cátedra de EN 486 (Dr. Manglio Aguirre Andrade), la caracterización de la realidad problemática se articula mediante la técnica del embudo en tres niveles de profundidad:</w:t>
      </w:r>
    </w:p>
    <w:p>
      <w:pPr>
        <w:spacing w:before="160" w:after="60"/>
        <w:jc w:val="left"/>
      </w:pPr>
      <w:r>
        <w:rPr>
          <w:rFonts w:ascii="Times New Roman" w:hAnsi="Times New Roman"/>
          <w:b/>
          <w:i/>
          <w:color w:val="000000"/>
          <w:sz w:val="24"/>
        </w:rPr>
        <w:t>Contexto Internacional (Macro)</w:t>
      </w:r>
    </w:p>
    <w:p>
      <w:pPr>
        <w:spacing w:line="312" w:lineRule="auto" w:before="0" w:after="80"/>
        <w:ind w:firstLine="720"/>
        <w:jc w:val="both"/>
      </w:pPr>
      <w:r>
        <w:rPr>
          <w:rFonts w:ascii="Times New Roman" w:hAnsi="Times New Roman"/>
          <w:b w:val="0"/>
          <w:i w:val="0"/>
          <w:color w:val="000000"/>
          <w:sz w:val="24"/>
        </w:rPr>
        <w:t>A escala mundial, los sistemas de salud enfrentan una crisis estructural caracterizada por la fragmentación asistencial y la despersonalización del acto de cuidado, según lo advertido por la Organización Mundial de la Salud (OMS), la OCDE y el Banco Mundial [1]. El predominio de un paradigma biomédico tecnicista y la sobrecarga burocrática en el primer nivel de atención han reducido la evaluación de los servicios a meros indicadores de rendimiento cuantitativo, invisibilizando la vivencia afectiva del paciente, el sufrimiento somático de la espera y los determinantes socioculturales de la salud. De acuerdo con Donabedian [9, 10] y Watson [12], la calidad del cuidado no reside únicamente en la corrección instrumental del procedimiento terapéutico, sino medularmente en el proceso interpersonal: la calidez de la mirada, la capacidad de escucha, el respeto a la dignidad y la reciprocidad humanizada entre el profesional y el ser cuidado.</w:t>
      </w:r>
    </w:p>
    <w:p>
      <w:pPr>
        <w:spacing w:before="160" w:after="60"/>
        <w:jc w:val="left"/>
      </w:pPr>
      <w:r>
        <w:rPr>
          <w:rFonts w:ascii="Times New Roman" w:hAnsi="Times New Roman"/>
          <w:b/>
          <w:i/>
          <w:color w:val="000000"/>
          <w:sz w:val="24"/>
        </w:rPr>
        <w:t>Contexto Nacional (Meso)</w:t>
      </w:r>
    </w:p>
    <w:p>
      <w:pPr>
        <w:spacing w:line="312" w:lineRule="auto" w:before="0" w:after="80"/>
        <w:ind w:firstLine="720"/>
        <w:jc w:val="both"/>
      </w:pPr>
      <w:r>
        <w:rPr>
          <w:rFonts w:ascii="Times New Roman" w:hAnsi="Times New Roman"/>
          <w:b w:val="0"/>
          <w:i w:val="0"/>
          <w:color w:val="000000"/>
          <w:sz w:val="24"/>
        </w:rPr>
        <w:t>En el Perú, la Política Nacional de Calidad en Salud del Ministerio de Salud [2] reconoce que la persistencia de barreras de acceso geográficas, organizacionales, económicas y culturales debilita gravemente la capacidad resolutiva del primer nivel asistencial (categorías I-1 a I-4), donde recae más del 78% de las atenciones asistenciales del país. A pesar de los esfuerzos normativos, persisten cuellos de botella crónicos: colas en la madrugada para conseguir un cupo, desabastecimiento de medicamentos esenciales del petitorio oficial y una marcada frialdad comunicativa en el trato al usuario. Esta brecha motivó al Estado peruano a priorizar la investigación en salud a través de la Línea 10 de Investigación en Salud al 2030: “Sistemas y servicios de salud, acceso y cobertura universal” (Resolución Ministerial N° 424-2025/MINSA) [3], orientada a generar evidencia empírica directa para dignificar la atención y garantizar la cobertura sanitaria universal.</w:t>
      </w:r>
    </w:p>
    <w:p>
      <w:pPr>
        <w:spacing w:before="160" w:after="60"/>
        <w:jc w:val="left"/>
      </w:pPr>
      <w:r>
        <w:rPr>
          <w:rFonts w:ascii="Times New Roman" w:hAnsi="Times New Roman"/>
          <w:b/>
          <w:i/>
          <w:color w:val="000000"/>
          <w:sz w:val="24"/>
        </w:rPr>
        <w:t>Contexto Regional y Local (Micro: Centro de Salud Belén)</w:t>
      </w:r>
    </w:p>
    <w:p>
      <w:pPr>
        <w:spacing w:line="312" w:lineRule="auto" w:before="0" w:after="80"/>
        <w:ind w:firstLine="720"/>
        <w:jc w:val="both"/>
      </w:pPr>
      <w:r>
        <w:rPr>
          <w:rFonts w:ascii="Times New Roman" w:hAnsi="Times New Roman"/>
          <w:b w:val="0"/>
          <w:i w:val="0"/>
          <w:color w:val="000000"/>
          <w:sz w:val="24"/>
        </w:rPr>
        <w:t>En el ámbito regional, el estudio se articula de forma vinculante con la Prioridad 10 de Investigación en Salud de Ayacucho 2025–2030, aprobada por la Dirección Regional de Salud de Ayacucho [4]: “Organización, gestión, calidad y accesibilidad de los servicios de salud”. En este marco, el Centro de Salud Belén (Categoría I-3, Microred Huamanga) representa un punto neurálgico asistencial que atiende a una población adscrita de 18,450 habitantes en el distrito de Ayacucho, a 2,760 metros sobre el nivel del mar.</w:t>
      </w:r>
    </w:p>
    <w:p>
      <w:pPr>
        <w:spacing w:line="312" w:lineRule="auto" w:before="0" w:after="80"/>
        <w:ind w:firstLine="720"/>
        <w:jc w:val="both"/>
      </w:pPr>
      <w:r>
        <w:rPr>
          <w:rFonts w:ascii="Times New Roman" w:hAnsi="Times New Roman"/>
          <w:b w:val="0"/>
          <w:i w:val="0"/>
          <w:color w:val="000000"/>
          <w:sz w:val="24"/>
        </w:rPr>
        <w:t>En este establecimiento aflora una dramática distancia entre la lógica asistencial programática y la vivencia sentida del usuario andino: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Vulnerabilidad socioeconómica: </w:t>
      </w:r>
      <w:r>
        <w:rPr>
          <w:rFonts w:ascii="Times New Roman" w:hAnsi="Times New Roman"/>
          <w:b w:val="0"/>
          <w:i w:val="0"/>
          <w:color w:val="000000"/>
          <w:sz w:val="24"/>
        </w:rPr>
        <w:t>El 68.2% de la población usuaria se encuentra en situación de pobreza o extrema pobreza según el SISFOH, y más del 94.5% depende del Seguro Integral de Salud (SIS) en su modalidad subsidiada.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Identidad lingüística y cultural: </w:t>
      </w:r>
      <w:r>
        <w:rPr>
          <w:rFonts w:ascii="Times New Roman" w:hAnsi="Times New Roman"/>
          <w:b w:val="0"/>
          <w:i w:val="0"/>
          <w:color w:val="000000"/>
          <w:sz w:val="24"/>
        </w:rPr>
        <w:t>El 72.0% de los usuarios presenta bilingüismo activo quechua chanka-castellano. Para esta población, la salud se vivencia a través de códigos ancestrales de afecto y reciprocidad comunitaria: la acogida hospitalaria (allin chaskiy), el saludo cálido y respetuoso (napaykuy) y el respeto mutuo (respetanakuy), conforme a los hallazgos de Aguirre-Andrade y colaboradores [18].</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La experiencia de la desatención: </w:t>
      </w:r>
      <w:r>
        <w:rPr>
          <w:rFonts w:ascii="Times New Roman" w:hAnsi="Times New Roman"/>
          <w:b w:val="0"/>
          <w:i w:val="0"/>
          <w:color w:val="000000"/>
          <w:sz w:val="24"/>
        </w:rPr>
        <w:t>Cuando los profesionales —condicionados por la prisa protocolar, la sobrecarga laboral o el monolingüismo hispanohablante— omiten el saludo, evitan el contacto visual o se muestran indiferentes ante el dolor (nanay), el usuario experimenta sensaciones de desamparo, intimidación y violencia simbólica, replegándose en el silencio defensivo (upallay). Asimismo, las madrugadas gélidas a la intemperie (5 °C a 8 °C) desde las 4:00 AM para obtener un cupo generan agotamiento somático y menoscabo de la dignidad de las madres gestantes y adultos mayores.</w:t>
      </w:r>
    </w:p>
    <w:p>
      <w:pPr>
        <w:spacing w:line="312" w:lineRule="auto" w:before="0" w:after="80"/>
        <w:ind w:firstLine="720"/>
        <w:jc w:val="both"/>
      </w:pPr>
      <w:r>
        <w:rPr>
          <w:rFonts w:ascii="Times New Roman" w:hAnsi="Times New Roman"/>
          <w:b w:val="0"/>
          <w:i w:val="0"/>
          <w:color w:val="000000"/>
          <w:sz w:val="24"/>
        </w:rPr>
        <w:t>El problema medular de investigación radica, por consiguiente, en develar y comprender cómo los propios usuarios perciben, vivencian y significan la calidad de atención y el acceso asistencial en el Centro de Salud Belén desde la profundidad de su mundo de la vida.</w:t>
      </w:r>
    </w:p>
    <w:p>
      <w:pPr>
        <w:spacing w:before="200" w:after="80"/>
        <w:jc w:val="left"/>
      </w:pPr>
      <w:r>
        <w:rPr>
          <w:rFonts w:ascii="Times New Roman" w:hAnsi="Times New Roman"/>
          <w:b/>
          <w:i w:val="0"/>
          <w:color w:val="000000"/>
          <w:sz w:val="24"/>
        </w:rPr>
        <w:t>1.2. Formulación del problema (Preguntas norteadoras)</w:t>
      </w:r>
    </w:p>
    <w:p>
      <w:pPr>
        <w:spacing w:line="312" w:lineRule="auto" w:before="0" w:after="80"/>
        <w:ind w:firstLine="720"/>
        <w:jc w:val="both"/>
      </w:pPr>
      <w:r>
        <w:rPr>
          <w:rFonts w:ascii="Times New Roman" w:hAnsi="Times New Roman"/>
          <w:b w:val="0"/>
          <w:i w:val="0"/>
          <w:color w:val="000000"/>
          <w:sz w:val="24"/>
        </w:rPr>
        <w:t>En coherencia con los preceptos del diseño fenomenológico articulados por Hernández-Sampieri y Mendoza [5] y el principio de inmutabilidad del entorno sellado, se formulan las preguntas norteadoras de la investigación:</w:t>
      </w:r>
    </w:p>
    <w:p>
      <w:pPr>
        <w:spacing w:before="160" w:after="60"/>
        <w:jc w:val="left"/>
      </w:pPr>
      <w:r>
        <w:rPr>
          <w:rFonts w:ascii="Times New Roman" w:hAnsi="Times New Roman"/>
          <w:b/>
          <w:i/>
          <w:color w:val="000000"/>
          <w:sz w:val="24"/>
        </w:rPr>
        <w:t>Problema General (Pregunta Principal)</w:t>
      </w:r>
    </w:p>
    <w:p>
      <w:pPr>
        <w:spacing w:line="312" w:lineRule="auto" w:before="0" w:after="80"/>
        <w:ind w:firstLine="720"/>
        <w:jc w:val="both"/>
      </w:pPr>
      <w:r>
        <w:rPr>
          <w:rFonts w:ascii="Times New Roman" w:hAnsi="Times New Roman"/>
          <w:b w:val="0"/>
          <w:i w:val="0"/>
          <w:color w:val="000000"/>
          <w:sz w:val="24"/>
        </w:rPr>
        <w:t>¿Cuál es el significado, estructura y esencia de la experiencia vivida por los usuarios respecto al fenómeno del acceso y la calidad de atención en los servicios de salud del Centro de Salud Belén, Ayacucho 2026?</w:t>
      </w:r>
    </w:p>
    <w:p>
      <w:pPr>
        <w:spacing w:before="160" w:after="60"/>
        <w:jc w:val="left"/>
      </w:pPr>
      <w:r>
        <w:rPr>
          <w:rFonts w:ascii="Times New Roman" w:hAnsi="Times New Roman"/>
          <w:b/>
          <w:i/>
          <w:color w:val="000000"/>
          <w:sz w:val="24"/>
        </w:rPr>
        <w:t>Problemas Específicos (Preguntas Específicas)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¿Cómo vivencian los usuarios la dimensión temporal (tiempo vivido / Lebenszeit) en las filas de madrugada (4:00 AM) y las horas transcurridas en sala de espera antes de ser atendidos?</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¿De qué manera experimentan los usuarios la dimensión espacial (espacio vivido / Lebensraum) respecto al hacinamiento, comodidad física y privacidad dentro de los consultorios?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¿Cuáles son las vivencias somáticas y emocionales vinculadas a la dimensión corporal (cuerpo vivido / Leib), tales como frío matutino, fatiga física, hambre y dolor (nanay) frente a la espera asistencial?</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¿Cómo perciben los usuarios la dimensión relacional (relación humana vivida / Mitwelt) respecto a la empatía, calidez, escucha activa y comunicación intercultural en quechua chanka brindada por el equipo de salud?</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¿Cuál es la esencia compartida y las divergencias vivenciales que configuran el significado integral atribuido por los usuarios a una atención de calidad y digna en el Centro de Salud Belén?</w:t>
      </w:r>
    </w:p>
    <w:p>
      <w:pPr>
        <w:spacing w:before="200" w:after="80"/>
        <w:jc w:val="left"/>
      </w:pPr>
      <w:r>
        <w:rPr>
          <w:rFonts w:ascii="Times New Roman" w:hAnsi="Times New Roman"/>
          <w:b/>
          <w:i w:val="0"/>
          <w:color w:val="000000"/>
          <w:sz w:val="24"/>
        </w:rPr>
        <w:t>1.3. Objetivos de la investigación</w:t>
      </w:r>
    </w:p>
    <w:p>
      <w:pPr>
        <w:spacing w:line="312" w:lineRule="auto" w:before="0" w:after="80"/>
        <w:ind w:firstLine="720"/>
        <w:jc w:val="both"/>
      </w:pPr>
      <w:r>
        <w:rPr>
          <w:rFonts w:ascii="Times New Roman" w:hAnsi="Times New Roman"/>
          <w:b w:val="0"/>
          <w:i w:val="0"/>
          <w:color w:val="000000"/>
          <w:sz w:val="24"/>
        </w:rPr>
        <w:t>Guardando estricta simetría lógica biunívoca (1:1) con las preguntas norteadoras y empleando verbos en infinitivo propios de la indagación cualitativa comprensiva, se establecen los siguientes objetivos:</w:t>
      </w:r>
    </w:p>
    <w:p>
      <w:pPr>
        <w:spacing w:before="160" w:after="60"/>
        <w:jc w:val="left"/>
      </w:pPr>
      <w:r>
        <w:rPr>
          <w:rFonts w:ascii="Times New Roman" w:hAnsi="Times New Roman"/>
          <w:b/>
          <w:i/>
          <w:color w:val="000000"/>
          <w:sz w:val="24"/>
        </w:rPr>
        <w:t>Objetivo General</w:t>
      </w:r>
    </w:p>
    <w:p>
      <w:pPr>
        <w:spacing w:line="312" w:lineRule="auto" w:before="0" w:after="80"/>
        <w:ind w:firstLine="720"/>
        <w:jc w:val="both"/>
      </w:pPr>
      <w:r>
        <w:rPr>
          <w:rFonts w:ascii="Times New Roman" w:hAnsi="Times New Roman"/>
          <w:b w:val="0"/>
          <w:i w:val="0"/>
          <w:color w:val="000000"/>
          <w:sz w:val="24"/>
        </w:rPr>
        <w:t>Explorar, comprender y describir el significado, estructura y esencia de la experiencia vivida por los usuarios respecto al acceso y calidad de atención en el Centro de Salud Belén, Ayacucho 2026.</w:t>
      </w:r>
    </w:p>
    <w:p>
      <w:pPr>
        <w:spacing w:before="160" w:after="60"/>
        <w:jc w:val="left"/>
      </w:pPr>
      <w:r>
        <w:rPr>
          <w:rFonts w:ascii="Times New Roman" w:hAnsi="Times New Roman"/>
          <w:b/>
          <w:i/>
          <w:color w:val="000000"/>
          <w:sz w:val="24"/>
        </w:rPr>
        <w:t>Objetivos Específicos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Explorar y comprender las vivencias de los usuarios respecto a la dimensión temporal (tiempo vivido) en las filas matutinas de madrugada y el tiempo de espera en el establecimiento.</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Describir y comprender la experiencia de los usuarios respecto a la dimensión espacial (espacio vivido) en cuanto al confort, hacinamiento y privacidad de los ambientes asistenciales.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Identificar y comprender las vivencias somáticas de la dimensión corporal (cuerpo vivido), analizando la resistencia al frío matutino, fatiga, hambre y dolor del paciente.</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Comprender y analizar la experiencia de la dimensión relacional (relación humana vivida) en el encuentro asistencial, focalizando la empatía, trato digno y diálogo en lengua quechua.</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Sintetizar la estructura esencial y las divergencias fenomenológicas que configuran la percepción de una atención digna y de calidad en el Centro de Salud Belén.</w:t>
      </w:r>
    </w:p>
    <w:p>
      <w:pPr>
        <w:spacing w:before="200" w:after="80"/>
        <w:jc w:val="left"/>
      </w:pPr>
      <w:r>
        <w:rPr>
          <w:rFonts w:ascii="Times New Roman" w:hAnsi="Times New Roman"/>
          <w:b/>
          <w:i w:val="0"/>
          <w:color w:val="000000"/>
          <w:sz w:val="24"/>
        </w:rPr>
        <w:t>1.4. Supuestos fenomenológicos de la investigación</w:t>
      </w:r>
    </w:p>
    <w:p>
      <w:pPr>
        <w:spacing w:line="312" w:lineRule="auto" w:before="0" w:after="80"/>
        <w:ind w:firstLine="720"/>
        <w:jc w:val="both"/>
      </w:pPr>
      <w:r>
        <w:rPr>
          <w:rFonts w:ascii="Times New Roman" w:hAnsi="Times New Roman"/>
          <w:b w:val="0"/>
          <w:i w:val="0"/>
          <w:color w:val="000000"/>
          <w:sz w:val="24"/>
        </w:rPr>
        <w:t>En el paradigma cualitativo fenomenológico, en concordancia con Hernández-Sampieri y Mendoza [5] y van Manen [8], la investigación no formula hipótesis cuantitativas para contrastación estadística paramétrica. En su lugar, se establecen supuestos fenomenológicos inductivos, los cuales constituyen proposiciones teóricas preliminares que orientan la mirada de la investigadora sin prejuzgar ni constreñir las vivencias que emergerán de los informantes durante la reducción fenomenológica (epojé):</w:t>
      </w:r>
    </w:p>
    <w:p>
      <w:pPr>
        <w:spacing w:before="160" w:after="60"/>
        <w:jc w:val="left"/>
      </w:pPr>
      <w:r>
        <w:rPr>
          <w:rFonts w:ascii="Times New Roman" w:hAnsi="Times New Roman"/>
          <w:b/>
          <w:i/>
          <w:color w:val="000000"/>
          <w:sz w:val="24"/>
        </w:rPr>
        <w:t>Supuesto General</w:t>
      </w:r>
    </w:p>
    <w:p>
      <w:pPr>
        <w:spacing w:line="312" w:lineRule="auto" w:before="0" w:after="80"/>
        <w:ind w:firstLine="720"/>
        <w:jc w:val="both"/>
      </w:pPr>
      <w:r>
        <w:rPr>
          <w:rFonts w:ascii="Times New Roman" w:hAnsi="Times New Roman"/>
          <w:b w:val="0"/>
          <w:i w:val="0"/>
          <w:color w:val="000000"/>
          <w:sz w:val="24"/>
        </w:rPr>
        <w:t>La percepción de la calidad de atención y el acceso constituye para el usuario del Centro de Salud Belén una vivencia intersubjetiva profunda donde la calidez humana, el reconocimiento de su dignidad andina, la comunicación empática en lengua originaria y la oportunidad resolutiva del padecimiento prevalecen sobre la mera dimensión instrumental o protocolar del acto asistencial.</w:t>
      </w:r>
    </w:p>
    <w:p>
      <w:pPr>
        <w:spacing w:before="160" w:after="60"/>
        <w:jc w:val="left"/>
      </w:pPr>
      <w:r>
        <w:rPr>
          <w:rFonts w:ascii="Times New Roman" w:hAnsi="Times New Roman"/>
          <w:b/>
          <w:i/>
          <w:color w:val="000000"/>
          <w:sz w:val="24"/>
        </w:rPr>
        <w:t>Supuestos Específicos del Mundo de la Vida (Lebenswelt)</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Supuesto sobre la Temporalidad: </w:t>
      </w:r>
      <w:r>
        <w:rPr>
          <w:rFonts w:ascii="Times New Roman" w:hAnsi="Times New Roman"/>
          <w:b w:val="0"/>
          <w:i w:val="0"/>
          <w:color w:val="000000"/>
          <w:sz w:val="24"/>
        </w:rPr>
        <w:t>La prolongada espera a la intemperie y la incertidumbre en la obtención de cupos genera en el usuario una vivencia de desvalorización de su tiempo vital y angustia existencial, transformando el acceso en una experiencia de sacrificio físico.</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Supuesto sobre la Espacialidad: </w:t>
      </w:r>
      <w:r>
        <w:rPr>
          <w:rFonts w:ascii="Times New Roman" w:hAnsi="Times New Roman"/>
          <w:b w:val="0"/>
          <w:i w:val="0"/>
          <w:color w:val="000000"/>
          <w:sz w:val="24"/>
        </w:rPr>
        <w:t>El espacio físico precario, la falta de asientos adecuados y la ausencia de privacidad acústica y visual en el consultorio restringen la intimidad del paciente, inhibiendo la revelación libre de sus síntomas y temores íntimos.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Supuesto sobre la Corporalidad: </w:t>
      </w:r>
      <w:r>
        <w:rPr>
          <w:rFonts w:ascii="Times New Roman" w:hAnsi="Times New Roman"/>
          <w:b w:val="0"/>
          <w:i w:val="0"/>
          <w:color w:val="000000"/>
          <w:sz w:val="24"/>
        </w:rPr>
        <w:t>El cuerpo del usuario somatiza la desatención institucional a través del impacto del frío matutino andino (5 °C a 8 °C), el agotamiento muscular y la agudización del dolor físico (nanay), transformando la espera en una vivencia corporalmente aflictiva.</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i w:val="0"/>
          <w:color w:val="000000"/>
          <w:sz w:val="24"/>
        </w:rPr>
        <w:t xml:space="preserve">Supuesto sobre la Relacionalidad: </w:t>
      </w:r>
      <w:r>
        <w:rPr>
          <w:rFonts w:ascii="Times New Roman" w:hAnsi="Times New Roman"/>
          <w:b w:val="0"/>
          <w:i w:val="0"/>
          <w:color w:val="000000"/>
          <w:sz w:val="24"/>
        </w:rPr>
        <w:t>La interacción dialógica intercultural mediada por la calidez del saludo (napaykuy) y la acogida en quechua chanka (allin chaskiy) mitiga el temor institucional, restablece la confianza terapéutica y resignifica positivamente la calidad del servicio.</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i w:val="0"/>
          <w:color w:val="000000"/>
          <w:sz w:val="24"/>
        </w:rPr>
        <w:t xml:space="preserve">Supuesto sobre la Esencia y Divergencias: </w:t>
      </w:r>
      <w:r>
        <w:rPr>
          <w:rFonts w:ascii="Times New Roman" w:hAnsi="Times New Roman"/>
          <w:b w:val="0"/>
          <w:i w:val="0"/>
          <w:color w:val="000000"/>
          <w:sz w:val="24"/>
        </w:rPr>
        <w:t>La esencia del cuidado digno radica en la experiencia compartida de sentirse respetado como persona humana integral, emergiendo divergencias vivenciales moduladas por la edad y el grado de vulnerabilidad socioeconómica del usuario.</w:t>
      </w:r>
    </w:p>
    <w:p>
      <w:pPr>
        <w:spacing w:before="200" w:after="80"/>
        <w:jc w:val="left"/>
      </w:pPr>
      <w:r>
        <w:rPr>
          <w:rFonts w:ascii="Times New Roman" w:hAnsi="Times New Roman"/>
          <w:b/>
          <w:i w:val="0"/>
          <w:color w:val="000000"/>
          <w:sz w:val="24"/>
        </w:rPr>
        <w:t>1.5. Justificación e importancia de la investigación</w:t>
      </w:r>
    </w:p>
    <w:p>
      <w:pPr>
        <w:spacing w:line="312" w:lineRule="auto" w:before="0" w:after="80"/>
        <w:ind w:firstLine="720"/>
        <w:jc w:val="both"/>
      </w:pPr>
      <w:r>
        <w:rPr>
          <w:rFonts w:ascii="Times New Roman" w:hAnsi="Times New Roman"/>
          <w:b w:val="0"/>
          <w:i w:val="0"/>
          <w:color w:val="000000"/>
          <w:sz w:val="24"/>
        </w:rPr>
        <w:t>Conforme a las directrices epistemológicas de la cátedra de EN 486 (UNSCH), fundamentadas en la concepción científica y rigurosa de Mario Bunge [15], y los criterios de relevancia de Hernández-Sampieri y Mendoza [5], el proyecto se sustenta en cuatro dimensiones justificatorias:</w:t>
      </w:r>
    </w:p>
    <w:p>
      <w:pPr>
        <w:spacing w:before="160" w:after="60"/>
        <w:jc w:val="left"/>
      </w:pPr>
      <w:r>
        <w:rPr>
          <w:rFonts w:ascii="Times New Roman" w:hAnsi="Times New Roman"/>
          <w:b/>
          <w:i/>
          <w:color w:val="000000"/>
          <w:sz w:val="24"/>
        </w:rPr>
        <w:t>Justificación Teórica</w:t>
      </w:r>
    </w:p>
    <w:p>
      <w:pPr>
        <w:spacing w:line="312" w:lineRule="auto" w:before="0" w:after="80"/>
        <w:ind w:firstLine="720"/>
        <w:jc w:val="both"/>
      </w:pPr>
      <w:r>
        <w:rPr>
          <w:rFonts w:ascii="Times New Roman" w:hAnsi="Times New Roman"/>
          <w:b w:val="0"/>
          <w:i w:val="0"/>
          <w:color w:val="000000"/>
          <w:sz w:val="24"/>
        </w:rPr>
        <w:t>El estudio llena un vacío epistémico crítico en la literatura regional sobre calidad de atención en salud pública. Tradicionalmente, la evaluación de servicios se ha sustentado en modelos estandarizados cuantitativos (como SERVQUAL) [19, 20] que reducen la satisfacción a medias aritméticas, omitiendo las complejidades subjetivas y la cosmovisión del habitante andino. Esta investigación articula dialógicamente el Enfoque de Calidad en Salud de Donabedian [9, 10], la Teoría del Acceso de Penchansky [11] y la Teoría del Cuidado Humano de Watson [12] con las cuatro dimensiones existenciales de van Manen [8], construyendo un marco comprensivo pionero con pertinencia cultural andina en la UNSCH.</w:t>
      </w:r>
    </w:p>
    <w:p>
      <w:pPr>
        <w:spacing w:before="160" w:after="60"/>
        <w:jc w:val="left"/>
      </w:pPr>
      <w:r>
        <w:rPr>
          <w:rFonts w:ascii="Times New Roman" w:hAnsi="Times New Roman"/>
          <w:b/>
          <w:i/>
          <w:color w:val="000000"/>
          <w:sz w:val="24"/>
        </w:rPr>
        <w:t>Justificación Práctica</w:t>
      </w:r>
    </w:p>
    <w:p>
      <w:pPr>
        <w:spacing w:line="312" w:lineRule="auto" w:before="0" w:after="80"/>
        <w:ind w:firstLine="720"/>
        <w:jc w:val="both"/>
      </w:pPr>
      <w:r>
        <w:rPr>
          <w:rFonts w:ascii="Times New Roman" w:hAnsi="Times New Roman"/>
          <w:b w:val="0"/>
          <w:i w:val="0"/>
          <w:color w:val="000000"/>
          <w:sz w:val="24"/>
        </w:rPr>
        <w:t>La investigación responde a una necesidad institucional urgente. Al desentrañar los nudos críticos del acceso y el trato humano desde el relato directo de los usuarios, los hallazgos aportarán insumos concretos para que la Jefatura del Centro de Salud Belén y la Dirección de la Red de Salud Huamanga rediseñen el flujo de admisión matutina, erradiquen las filas a la intemperie en la madrugada y elaboren protocolos de triaje y acogida intercultural con pertinencia lingüística en quechua chanka.</w:t>
      </w:r>
    </w:p>
    <w:p>
      <w:pPr>
        <w:spacing w:before="160" w:after="60"/>
        <w:jc w:val="left"/>
      </w:pPr>
      <w:r>
        <w:rPr>
          <w:rFonts w:ascii="Times New Roman" w:hAnsi="Times New Roman"/>
          <w:b/>
          <w:i/>
          <w:color w:val="000000"/>
          <w:sz w:val="24"/>
        </w:rPr>
        <w:t>Justificación Metodológica</w:t>
      </w:r>
    </w:p>
    <w:p>
      <w:pPr>
        <w:spacing w:line="312" w:lineRule="auto" w:before="0" w:after="80"/>
        <w:ind w:firstLine="720"/>
        <w:jc w:val="both"/>
      </w:pPr>
      <w:r>
        <w:rPr>
          <w:rFonts w:ascii="Times New Roman" w:hAnsi="Times New Roman"/>
          <w:b w:val="0"/>
          <w:i w:val="0"/>
          <w:color w:val="000000"/>
          <w:sz w:val="24"/>
        </w:rPr>
        <w:t>Aporta al campo de la investigación en enfermería un protocolo fenomenológico riguroso, validado por juicio de expertos y estructurado bajo los cuatro existenciales del Lebenswelt. Diseña y valida una guía de entrevista semiestructurada bilingüe (Quechua Chanka-Español) y una matriz de categorización temática cualitativa auditadas bajo los criterios de rigor de Guba y Lincoln [13]: credibilidad, transferibilidad, consistencia y confirmabilidad, estableciendo un precedente metodológico replicable para futuras tesis de la Facultad de Ciencias de la Salud de la UNSCH.</w:t>
      </w:r>
    </w:p>
    <w:p>
      <w:pPr>
        <w:spacing w:before="160" w:after="60"/>
        <w:jc w:val="left"/>
      </w:pPr>
      <w:r>
        <w:rPr>
          <w:rFonts w:ascii="Times New Roman" w:hAnsi="Times New Roman"/>
          <w:b/>
          <w:i/>
          <w:color w:val="000000"/>
          <w:sz w:val="24"/>
        </w:rPr>
        <w:t>Justificación Social y Sanitaria</w:t>
      </w:r>
    </w:p>
    <w:p>
      <w:pPr>
        <w:spacing w:line="312" w:lineRule="auto" w:before="0" w:after="80"/>
        <w:ind w:firstLine="720"/>
        <w:jc w:val="both"/>
      </w:pPr>
      <w:r>
        <w:rPr>
          <w:rFonts w:ascii="Times New Roman" w:hAnsi="Times New Roman"/>
          <w:b w:val="0"/>
          <w:i w:val="0"/>
          <w:color w:val="000000"/>
          <w:sz w:val="24"/>
        </w:rPr>
        <w:t>El proyecto encarna un imperativo ético de equidad en salud. Visibiliza el sufrimiento silenciado de las madres de familia en CRED, gestantes y adultos mayores en situación de pobreza (68.2% SISFOH) y alta dependencia del SIS (94.5%). Responde de manera vinculante a la Línea 10 Nacional de Investigación del MINSA al 2030 [3] y a la Prioridad 10 Regional de Investigación de la DIRESA Ayacucho 2025–2030 [4], contribuyendo a transformar la atención de salud en un espacio de dignidad humana y justicia social.</w:t>
      </w:r>
    </w:p>
    <w:p>
      <w:pPr>
        <w:spacing w:before="200" w:after="80"/>
        <w:jc w:val="left"/>
      </w:pPr>
      <w:r>
        <w:rPr>
          <w:rFonts w:ascii="Times New Roman" w:hAnsi="Times New Roman"/>
          <w:b/>
          <w:i w:val="0"/>
          <w:color w:val="000000"/>
          <w:sz w:val="24"/>
        </w:rPr>
        <w:t>1.6. Delimitaciones y limitaciones del estudio</w:t>
      </w:r>
    </w:p>
    <w:p>
      <w:pPr>
        <w:spacing w:line="312" w:lineRule="auto" w:before="0" w:after="80"/>
        <w:ind w:firstLine="720"/>
        <w:jc w:val="both"/>
      </w:pPr>
      <w:r>
        <w:rPr>
          <w:rFonts w:ascii="Times New Roman" w:hAnsi="Times New Roman"/>
          <w:b w:val="0"/>
          <w:i w:val="0"/>
          <w:color w:val="000000"/>
          <w:sz w:val="24"/>
        </w:rPr>
        <w:t>Para preservar las fronteras del entorno de investigación y garantizar el aislamiento metodológico, se declaran formalmente las delimitaciones del alcance y las limitaciones del estudio:</w:t>
      </w:r>
    </w:p>
    <w:p>
      <w:pPr>
        <w:spacing w:before="160" w:after="60"/>
        <w:jc w:val="left"/>
      </w:pPr>
      <w:r>
        <w:rPr>
          <w:rFonts w:ascii="Times New Roman" w:hAnsi="Times New Roman"/>
          <w:b/>
          <w:i/>
          <w:color w:val="000000"/>
          <w:sz w:val="24"/>
        </w:rPr>
        <w:t>Delimitación Espacial y Territorial</w:t>
      </w:r>
    </w:p>
    <w:p>
      <w:pPr>
        <w:spacing w:line="312" w:lineRule="auto" w:before="0" w:after="80"/>
        <w:ind w:firstLine="720"/>
        <w:jc w:val="both"/>
      </w:pPr>
      <w:r>
        <w:rPr>
          <w:rFonts w:ascii="Times New Roman" w:hAnsi="Times New Roman"/>
          <w:b w:val="0"/>
          <w:i w:val="0"/>
          <w:color w:val="000000"/>
          <w:sz w:val="24"/>
        </w:rPr>
        <w:t>La investigación se circunscribe de forma estricta a los ambientes físicos del Centro de Salud Belén (Categoría I-3), abarcando la vereda exterior de espera matutina, las salas interiores de espera y los consultorios asistenciales de Medicina General, Enfermería (CRED, Inmunizaciones), Obstetricia y Odontología, ubicado en el distrito de Ayacucho, provincia de Huamanga, departamento de Ayacucho, a 2,760 msnm.</w:t>
      </w:r>
    </w:p>
    <w:p>
      <w:pPr>
        <w:spacing w:before="160" w:after="60"/>
        <w:jc w:val="left"/>
      </w:pPr>
      <w:r>
        <w:rPr>
          <w:rFonts w:ascii="Times New Roman" w:hAnsi="Times New Roman"/>
          <w:b/>
          <w:i/>
          <w:color w:val="000000"/>
          <w:sz w:val="24"/>
        </w:rPr>
        <w:t>Delimitación Temporal</w:t>
      </w:r>
    </w:p>
    <w:p>
      <w:pPr>
        <w:spacing w:line="312" w:lineRule="auto" w:before="0" w:after="80"/>
        <w:ind w:firstLine="720"/>
        <w:jc w:val="both"/>
      </w:pPr>
      <w:r>
        <w:rPr>
          <w:rFonts w:ascii="Times New Roman" w:hAnsi="Times New Roman"/>
          <w:b w:val="0"/>
          <w:i w:val="0"/>
          <w:color w:val="000000"/>
          <w:sz w:val="24"/>
        </w:rPr>
        <w:t>El horizonte temporal de recolección y análisis vivencial corresponde al año fiscal y académico 2026.</w:t>
      </w:r>
    </w:p>
    <w:p>
      <w:pPr>
        <w:spacing w:before="160" w:after="60"/>
        <w:jc w:val="left"/>
      </w:pPr>
      <w:r>
        <w:rPr>
          <w:rFonts w:ascii="Times New Roman" w:hAnsi="Times New Roman"/>
          <w:b/>
          <w:i/>
          <w:color w:val="000000"/>
          <w:sz w:val="24"/>
        </w:rPr>
        <w:t>Delimitación Teórica y Epistemológica</w:t>
      </w:r>
    </w:p>
    <w:p>
      <w:pPr>
        <w:spacing w:line="312" w:lineRule="auto" w:before="0" w:after="80"/>
        <w:ind w:firstLine="720"/>
        <w:jc w:val="both"/>
      </w:pPr>
      <w:r>
        <w:rPr>
          <w:rFonts w:ascii="Times New Roman" w:hAnsi="Times New Roman"/>
          <w:b w:val="0"/>
          <w:i w:val="0"/>
          <w:color w:val="000000"/>
          <w:sz w:val="24"/>
        </w:rPr>
        <w:t>El marco teórico se limita de manera exclusiva a los modelos de Calidad Asistencial de Donabedian [9], la Teoría de Acceso de Penchansky [11], la Teoría del Cuidado Humano de Watson [12] y la fenomenología hermenéutica de Husserl [7] y van Manen [8]. Todo constructo positivista ajeno a estas fronteras queda excluido.</w:t>
      </w:r>
    </w:p>
    <w:p>
      <w:pPr>
        <w:spacing w:before="160" w:after="60"/>
        <w:jc w:val="left"/>
      </w:pPr>
      <w:r>
        <w:rPr>
          <w:rFonts w:ascii="Times New Roman" w:hAnsi="Times New Roman"/>
          <w:b/>
          <w:i/>
          <w:color w:val="000000"/>
          <w:sz w:val="24"/>
        </w:rPr>
        <w:t>Delimitación Conceptual y Temática</w:t>
      </w:r>
    </w:p>
    <w:p>
      <w:pPr>
        <w:spacing w:line="312" w:lineRule="auto" w:before="0" w:after="80"/>
        <w:ind w:firstLine="720"/>
        <w:jc w:val="both"/>
      </w:pPr>
      <w:r>
        <w:rPr>
          <w:rFonts w:ascii="Times New Roman" w:hAnsi="Times New Roman"/>
          <w:b w:val="0"/>
          <w:i w:val="0"/>
          <w:color w:val="000000"/>
          <w:sz w:val="24"/>
        </w:rPr>
        <w:t>El fenómeno se investiga a través del prisma exclusivo de las cuatro dimensiones existenciales del mundo de la vida (Lebenswelt): Temporalidad (Lebenszeit), Espacialidad (Lebensraum), Corporalidad (Leib) y Relacionalidad (Mitwelt), más la síntesis estructural esencial.</w:t>
      </w:r>
    </w:p>
    <w:p>
      <w:pPr>
        <w:spacing w:before="160" w:after="60"/>
        <w:jc w:val="left"/>
      </w:pPr>
      <w:r>
        <w:rPr>
          <w:rFonts w:ascii="Times New Roman" w:hAnsi="Times New Roman"/>
          <w:b/>
          <w:i/>
          <w:color w:val="000000"/>
          <w:sz w:val="24"/>
        </w:rPr>
        <w:t>Delimitación Social y Poblacional</w:t>
      </w:r>
    </w:p>
    <w:p>
      <w:pPr>
        <w:spacing w:line="312" w:lineRule="auto" w:before="0" w:after="80"/>
        <w:ind w:firstLine="720"/>
        <w:jc w:val="both"/>
      </w:pPr>
      <w:r>
        <w:rPr>
          <w:rFonts w:ascii="Times New Roman" w:hAnsi="Times New Roman"/>
          <w:b w:val="0"/>
          <w:i w:val="0"/>
          <w:color w:val="000000"/>
          <w:sz w:val="24"/>
        </w:rPr>
        <w:t>La unidad de estudio está constituida por personas usuarias mayores de 18 años, hispanohablantes o quechuahablantes, que acuden como usuarios externos a los servicios asistenciales del establecimiento. Se excluye al personal administrativo y asistencial, cuya vivencia laboral constituye un objeto de estudio independiente.</w:t>
      </w:r>
    </w:p>
    <w:p>
      <w:pPr>
        <w:spacing w:before="160" w:after="60"/>
        <w:jc w:val="left"/>
      </w:pPr>
      <w:r>
        <w:rPr>
          <w:rFonts w:ascii="Times New Roman" w:hAnsi="Times New Roman"/>
          <w:b/>
          <w:i/>
          <w:color w:val="000000"/>
          <w:sz w:val="24"/>
        </w:rPr>
        <w:t>Limitaciones Metodológicas del Estudio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Naturaleza no probabilística del diseño: </w:t>
      </w:r>
      <w:r>
        <w:rPr>
          <w:rFonts w:ascii="Times New Roman" w:hAnsi="Times New Roman"/>
          <w:b w:val="0"/>
          <w:i w:val="0"/>
          <w:color w:val="000000"/>
          <w:sz w:val="24"/>
        </w:rPr>
        <w:t>Los hallazgos fenomenológicos no persiguen la generalización estadística numérica de frecuencias poblacionales, sino la transferibilidad conceptual contextualizada según los criterios de rigor de Guba y Lincoln [13].</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Efecto de reactividad y pudor: </w:t>
      </w:r>
      <w:r>
        <w:rPr>
          <w:rFonts w:ascii="Times New Roman" w:hAnsi="Times New Roman"/>
          <w:b w:val="0"/>
          <w:i w:val="0"/>
          <w:color w:val="000000"/>
          <w:sz w:val="24"/>
        </w:rPr>
        <w:t>La presencia de la investigadora y el uso de grabadoras de audio podrían generar reticencia inicial en ciertos informantes quechuahablantes. Dicha limitación se mitiga mediante una inmersión prolongada en el campo, el establecimiento de rapport empático y el diálogo en su lengua materna.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Condicionamiento biometeorológico: </w:t>
      </w:r>
      <w:r>
        <w:rPr>
          <w:rFonts w:ascii="Times New Roman" w:hAnsi="Times New Roman"/>
          <w:b w:val="0"/>
          <w:i w:val="0"/>
          <w:color w:val="000000"/>
          <w:sz w:val="24"/>
        </w:rPr>
        <w:t>Las variaciones estacionales de frío y lluvia pueden modular la vivencia somática, lo que demanda registrar notas de campo reflexivas precisas en cada sesión de entrevista.</w:t>
      </w:r>
    </w:p>
    <w:p>
      <w:pPr>
        <w:spacing w:before="200" w:after="80"/>
        <w:jc w:val="left"/>
      </w:pPr>
      <w:r>
        <w:rPr>
          <w:rFonts w:ascii="Times New Roman" w:hAnsi="Times New Roman"/>
          <w:b/>
          <w:i w:val="0"/>
          <w:color w:val="000000"/>
          <w:sz w:val="24"/>
        </w:rPr>
        <w:t>1.7. Viabilidad y consideraciones bioéticas</w:t>
      </w:r>
    </w:p>
    <w:p>
      <w:pPr>
        <w:spacing w:line="312" w:lineRule="auto" w:before="0" w:after="80"/>
        <w:ind w:firstLine="720"/>
        <w:jc w:val="both"/>
      </w:pPr>
      <w:r>
        <w:rPr>
          <w:rFonts w:ascii="Times New Roman" w:hAnsi="Times New Roman"/>
          <w:b w:val="0"/>
          <w:i w:val="0"/>
          <w:color w:val="000000"/>
          <w:sz w:val="24"/>
        </w:rPr>
        <w:t>La presente investigación es plenamente viable puesto que cuenta con acceso institucional favorable a las instalaciones del Centro de Salud Belén, disponibilidad de recursos humanos calificados, respaldo académico tutorial de la cátedra de EN 486 (Dr. Manglio Aguirre Andrade) y financiamiento asegurado en su totalidad con recursos propios de la investigadora principal.</w:t>
      </w:r>
    </w:p>
    <w:p>
      <w:pPr>
        <w:spacing w:line="312" w:lineRule="auto" w:before="0" w:after="80"/>
        <w:ind w:firstLine="720"/>
        <w:jc w:val="both"/>
      </w:pPr>
      <w:r>
        <w:rPr>
          <w:rFonts w:ascii="Times New Roman" w:hAnsi="Times New Roman"/>
          <w:b w:val="0"/>
          <w:i w:val="0"/>
          <w:color w:val="000000"/>
          <w:sz w:val="24"/>
        </w:rPr>
        <w:t>En estricta observancia del rigor bioético, el protocolo será sometido al Comité Institucional de Ética en Investigación (CIEI) de la Universidad Nacional de San Cristóbal de Huamanga (UNSCH) y coordinado formalmente con la Dirección Regional de Salud (DIRESA) de Ayacucho y la Red de Salud Huamanga antes de cualquier abordaje de campo.</w:t>
      </w:r>
    </w:p>
    <w:p>
      <w:pPr>
        <w:spacing w:line="312" w:lineRule="auto" w:before="0" w:after="80"/>
        <w:ind w:firstLine="720"/>
        <w:jc w:val="both"/>
      </w:pPr>
      <w:r>
        <w:rPr>
          <w:rFonts w:ascii="Times New Roman" w:hAnsi="Times New Roman"/>
          <w:b w:val="0"/>
          <w:i w:val="0"/>
          <w:color w:val="000000"/>
          <w:sz w:val="24"/>
        </w:rPr>
        <w:t>El estudio se rige bajo los principios de la Declaración de Helsinki [16], las pautas internacionales del CIOMS [17] y el Informe Belmont:</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Autonomía: </w:t>
      </w:r>
      <w:r>
        <w:rPr>
          <w:rFonts w:ascii="Times New Roman" w:hAnsi="Times New Roman"/>
          <w:b w:val="0"/>
          <w:i w:val="0"/>
          <w:color w:val="000000"/>
          <w:sz w:val="24"/>
        </w:rPr>
        <w:t>Se garantizará la voluntariedad absoluta a través de la suscripción formal del Consentimiento Informado (Anexo 4), explicándose de forma detallada y comprensible la naturaleza de la investigación en quechua chanka o castellano.</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Beneficencia y No Maleficencia: </w:t>
      </w:r>
      <w:r>
        <w:rPr>
          <w:rFonts w:ascii="Times New Roman" w:hAnsi="Times New Roman"/>
          <w:b w:val="0"/>
          <w:i w:val="0"/>
          <w:color w:val="000000"/>
          <w:sz w:val="24"/>
        </w:rPr>
        <w:t>Se asegurará un ambiente de escucha digno y contenedor, evitando cualquier revictimización o angustia emocional durante el relato vivencial. Las entrevistas podrán suspenderse si el informante lo solicita.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Principio de Justicia y Confidencialidad: </w:t>
      </w:r>
      <w:r>
        <w:rPr>
          <w:rFonts w:ascii="Times New Roman" w:hAnsi="Times New Roman"/>
          <w:b w:val="0"/>
          <w:i w:val="0"/>
          <w:color w:val="000000"/>
          <w:sz w:val="24"/>
        </w:rPr>
        <w:t>Se mantendrá el anonimato absoluto mediante el uso de códigos alfanuméricos despersonalizados (ejemplo: Informante 01 -- [INF-01-MED]) en todas las etapas de transcripción, categorización en ATLAS.ti v9 y redacción del informe final.</w:t>
      </w:r>
    </w:p>
    <w:p>
      <w:pPr>
        <w:sectPr>
          <w:headerReference w:type="default" r:id="rId17"/>
          <w:footerReference w:type="default" r:id="rId18"/>
          <w:pgSz w:w="11906" w:h="16838"/>
          <w:pgMar w:top="1701" w:right="1417" w:bottom="1417" w:left="1984" w:header="720" w:footer="720" w:gutter="0"/>
          <w:cols w:space="720"/>
          <w:docGrid w:linePitch="360"/>
          <w:pgNumType w:fmt="decimal"/>
        </w:sectPr>
      </w:pPr>
    </w:p>
    <w:p>
      <w:pPr>
        <w:spacing w:before="280" w:after="160"/>
        <w:jc w:val="left"/>
      </w:pPr>
      <w:r>
        <w:rPr>
          <w:rFonts w:ascii="Times New Roman" w:hAnsi="Times New Roman"/>
          <w:b/>
          <w:i w:val="0"/>
          <w:color w:val="000000"/>
          <w:sz w:val="28"/>
        </w:rPr>
        <w:t>CAPÍTULO II: MARCO CONTEXTUAL</w:t>
      </w:r>
    </w:p>
    <w:p>
      <w:pPr>
        <w:spacing w:line="312" w:lineRule="auto" w:before="0" w:after="80"/>
        <w:ind w:firstLine="720"/>
        <w:jc w:val="both"/>
      </w:pPr>
      <w:r>
        <w:rPr>
          <w:rFonts w:ascii="Times New Roman" w:hAnsi="Times New Roman"/>
          <w:b w:val="0"/>
          <w:i w:val="0"/>
          <w:color w:val="000000"/>
          <w:sz w:val="24"/>
        </w:rPr>
        <w:t>En la investigación cualitativa bajo el diseño fenomenológico, el marco contextual no se reduce a una enumeración estática de datos cuantitativos ni a un inventario geográfico desvinculado; constituye la reconstrucción densa, profunda y holística del ambiente natural donde transcurre la vida cotidiana de las personas y donde se gesta el fenómeno estudiado [5, 6]. Para comprender la esencia de la experiencia vivida (Lebenswelt) de los usuarios respecto al acceso y la calidad de atención en el Centro de Salud Belén, es indispensable caracterizar la atmósfera física, cultural, social y sanitaria que envuelve, condiciona y dota de sentido a sus sentires, expectativas, frustraciones y valoraciones intersubjetivas [8, 4].</w:t>
      </w:r>
    </w:p>
    <w:p>
      <w:pPr>
        <w:spacing w:before="200" w:after="80"/>
        <w:jc w:val="left"/>
      </w:pPr>
      <w:r>
        <w:rPr>
          <w:rFonts w:ascii="Times New Roman" w:hAnsi="Times New Roman"/>
          <w:b/>
          <w:i w:val="0"/>
          <w:color w:val="000000"/>
          <w:sz w:val="24"/>
        </w:rPr>
        <w:t>2.1. Descripción geográfica, territorial y ambiental del área de estudio</w:t>
      </w:r>
    </w:p>
    <w:p>
      <w:pPr>
        <w:spacing w:line="312" w:lineRule="auto" w:before="0" w:after="80"/>
        <w:ind w:firstLine="720"/>
        <w:jc w:val="both"/>
      </w:pPr>
      <w:r>
        <w:rPr>
          <w:rFonts w:ascii="Times New Roman" w:hAnsi="Times New Roman"/>
          <w:b w:val="0"/>
          <w:i w:val="0"/>
          <w:color w:val="000000"/>
          <w:sz w:val="24"/>
        </w:rPr>
        <w:t>La investigación se sitúa en el Centro de Salud Belén, establecimiento sanitario cabecera perteneciente a la Microred Huamanga de la Red de Salud Huamanga, adscrito a la Dirección Regional de Salud (DIRESA) de Ayacucho. El establecimiento se localiza en el emblemático e histórico barrio de Belén, en el sector céntrico-sur del distrito de Ayacucho, provincia de Huamanga, departamento de Ayacucho, a una altitud oficial de 2,760 metros sobre el nivel del mar. Sus coordenadas geográficas de emplazamiento corresponden a los 13°09'47'' de Latitud Sur y 74°13'28'' de Longitud Oeste.</w:t>
      </w:r>
    </w:p>
    <w:p>
      <w:pPr>
        <w:spacing w:line="312" w:lineRule="auto" w:before="0" w:after="80"/>
        <w:ind w:firstLine="720"/>
        <w:jc w:val="both"/>
      </w:pPr>
      <w:r>
        <w:rPr>
          <w:rFonts w:ascii="Times New Roman" w:hAnsi="Times New Roman"/>
          <w:b w:val="0"/>
          <w:i w:val="0"/>
          <w:color w:val="000000"/>
          <w:sz w:val="24"/>
        </w:rPr>
        <w:t>El territorio bajo su responsabilidad sanitaria se asienta en la subcuenca del río Alameda, dentro de la cuenca principal del valle de Huamanga. Limita por el norte con el casco monumental y urbano central de la ciudad de Huamanga; por el sur con las urbanizaciones periurbanas del distrito de San Juan Bautista; por el este con las faldas del cerro Acuchimay y el distrito de Carmen Alto; y por el oeste con la prolongación de la avenida Mariscal Cáceres y el jirón Bellido. Su orografía presenta una topografía moderadamente accidentada, con calles estrechas, empinadas y trazados coloniales que imponen un esfuerzo físico considerable a los usuarios con movilidad reducida, gestantes y personas de la tercera edad que acuden a pie.</w:t>
      </w:r>
    </w:p>
    <w:p>
      <w:pPr>
        <w:spacing w:line="312" w:lineRule="auto" w:before="0" w:after="80"/>
        <w:ind w:firstLine="720"/>
        <w:jc w:val="both"/>
      </w:pPr>
      <w:r>
        <w:rPr>
          <w:rFonts w:ascii="Times New Roman" w:hAnsi="Times New Roman"/>
          <w:b w:val="0"/>
          <w:i w:val="0"/>
          <w:color w:val="000000"/>
          <w:sz w:val="24"/>
        </w:rPr>
        <w:t>El clima del área es templado y seco durante las horas diurnas soleadas, con temperaturas promedio anuales que oscilan entre los 15 °C y 22 °C. No obstante, una característica meteorológica decisiva para la experiencia del usuario radica en la marcada oscilación térmica interdiurna: durante las madrugadas andinas (entre las 4:00 a.m. y las 6:30 a.m.), el termómetro desciende habitualmente a valores de entre 5 °C y 8 °C, llegando a extremos menores en la temporada seca y de heladas (junio a agosto). Asimismo, se presenta una temporada de precipitaciones pluviales intensas entre los meses de noviembre y marzo. Esta condición ambiental no constituye un dato accesorio, sino un determinante corpóreo directo: los usuarios que pugnan por conseguir una cita deben pernoctar a la intemperie en la vereda exterior del establecimiento expuestos al frío penetrante y a la lluvia, lo cual predispone a la fatiga somática y agrava sus dolencias de base.</w:t>
      </w:r>
    </w:p>
    <w:p>
      <w:pPr>
        <w:spacing w:line="312" w:lineRule="auto" w:before="0" w:after="80"/>
        <w:ind w:firstLine="720"/>
        <w:jc w:val="both"/>
      </w:pPr>
      <w:r>
        <w:rPr>
          <w:rFonts w:ascii="Times New Roman" w:hAnsi="Times New Roman"/>
          <w:b w:val="0"/>
          <w:i w:val="0"/>
          <w:color w:val="000000"/>
          <w:sz w:val="24"/>
        </w:rPr>
        <w:t>En cuanto a la conectividad y accesibilidad vial, el establecimiento cuenta con acceso terrestre directo a través de arterias vehiculares pavimentadas (Jr. Bellido, Jr. Arequipa y Av. Mariscal Cáceres). El transporte urbano está garantizado mediante diversas líneas de transporte público (microbuses de las rutas 1, 3, 7 y 12), así como por una densa flota de mototaxis y taxis colectivos. A pesar de esta conectividad formal, el costo del pasaje y las barreras físicas del relieve obligan a un amplio porcentaje de familias vulnerables de sectores altos a realizar traslados peatonales de 20 a 40 minutos cargando niños en mantas tradicionales (llicllas) antes de la salida del sol.</w:t>
      </w:r>
    </w:p>
    <w:p>
      <w:pPr>
        <w:spacing w:before="200" w:after="80"/>
        <w:jc w:val="left"/>
      </w:pPr>
      <w:r>
        <w:rPr>
          <w:rFonts w:ascii="Times New Roman" w:hAnsi="Times New Roman"/>
          <w:b/>
          <w:i w:val="0"/>
          <w:color w:val="000000"/>
          <w:sz w:val="24"/>
        </w:rPr>
        <w:t>2.2. Características demográficas y estructura poblacional</w:t>
      </w:r>
    </w:p>
    <w:p>
      <w:pPr>
        <w:spacing w:line="312" w:lineRule="auto" w:before="0" w:after="80"/>
        <w:ind w:firstLine="720"/>
        <w:jc w:val="both"/>
      </w:pPr>
      <w:r>
        <w:rPr>
          <w:rFonts w:ascii="Times New Roman" w:hAnsi="Times New Roman"/>
          <w:b w:val="0"/>
          <w:i w:val="0"/>
          <w:color w:val="000000"/>
          <w:sz w:val="24"/>
        </w:rPr>
        <w:t>La jurisdicción sanitaria asignada al Centro de Salud Belén abarca una población diana proyectada de 18,450 habitantes según el Padrón Poblacional Oficial de la Red de Salud Huamanga (2025–2026). La pirámide poblacional se caracteriza por una base ensanchada en los primeros decenios de vida y una proporción creciente de personas adultas mayores, configurando un doble desafío asistencial de perfil materno-infantil y crónico-degenerativo. La distribución por etapas de vida es la siguiente:</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Infantil (menores de 5 años): </w:t>
      </w:r>
      <w:r>
        <w:rPr>
          <w:rFonts w:ascii="Times New Roman" w:hAnsi="Times New Roman"/>
          <w:b w:val="0"/>
          <w:i w:val="0"/>
          <w:color w:val="000000"/>
          <w:sz w:val="24"/>
        </w:rPr>
        <w:t>Representa el 12.4% (2,288 niños), constituyendo el segmento con mayor intensidad de demanda en los consultorios preventivo-promocionales de Crecimiento y Desarrollo (CRED), tamizaje y tratamiento de anemia ferropénica, suplementación nutricional e inmunizaciones del esquema nacional regular.</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Escolar y Adolescente (5 a 17 años): </w:t>
      </w:r>
      <w:r>
        <w:rPr>
          <w:rFonts w:ascii="Times New Roman" w:hAnsi="Times New Roman"/>
          <w:b w:val="0"/>
          <w:i w:val="0"/>
          <w:color w:val="000000"/>
          <w:sz w:val="24"/>
        </w:rPr>
        <w:t>Abarca el 19.6% (3,616 personas), demandantes de intervenciones de salud bucal, tamizaje visual, salud del escolar y orientación en salud sexual y reproductiva.</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Joven y Adulta (18 a 59 años): </w:t>
      </w:r>
      <w:r>
        <w:rPr>
          <w:rFonts w:ascii="Times New Roman" w:hAnsi="Times New Roman"/>
          <w:b w:val="0"/>
          <w:i w:val="0"/>
          <w:color w:val="000000"/>
          <w:sz w:val="24"/>
        </w:rPr>
        <w:t>Constituye el 52.8% (9,742 personas), con un marcado predominio de mujeres en edad fértil (MEF) que acuden para control prenatal, despistaje de cáncer de cuello uterino, planificación familiar y atenciones médicas por patologías agudas.</w:t>
      </w:r>
    </w:p>
    <w:p>
      <w:pPr>
        <w:spacing w:line="312" w:lineRule="auto" w:before="20" w:after="6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Población Adulta Mayor (60 años a más): </w:t>
      </w:r>
      <w:r>
        <w:rPr>
          <w:rFonts w:ascii="Times New Roman" w:hAnsi="Times New Roman"/>
          <w:b w:val="0"/>
          <w:i w:val="0"/>
          <w:color w:val="000000"/>
          <w:sz w:val="24"/>
        </w:rPr>
        <w:t>Concentra el 15.2% (2,804 personas), un grupo en acelerado envejecimiento que presenta alta prevalencia de hipertensión arterial, diabetes mellitus tipo 2, artrosis y secuelas osteomusculares, requiriendo un acompañamiento asistencial continuo, trato digno y accesibilidad física preferencial.</w:t>
      </w:r>
    </w:p>
    <w:p>
      <w:pPr>
        <w:spacing w:line="312" w:lineRule="auto" w:before="0" w:after="80"/>
        <w:ind w:firstLine="720"/>
        <w:jc w:val="both"/>
      </w:pPr>
      <w:r>
        <w:rPr>
          <w:rFonts w:ascii="Times New Roman" w:hAnsi="Times New Roman"/>
          <w:b w:val="0"/>
          <w:i w:val="0"/>
          <w:color w:val="000000"/>
          <w:sz w:val="24"/>
        </w:rPr>
        <w:t>Desde la mirada fenomenológica, resalta el fenómeno de la feminización de la demanda matutina: más del 70% de los usuarios que concurren a las salas de espera son mujeres. Se trata de madres de familia que acuden al cuidado y vigilancia de la salud de sus hijos menores, mujeres gestantes en controles prenatales y mujeres cuidadoras que asisten a adultos mayores dependientes. Esta dinámica impone sobre la mujer andina una sobrecarga cotidiana de roles, donde el tiempo de espera en el centro de salud compite directamente con sus jornadas de trabajo doméstico y comercial.</w:t>
      </w:r>
    </w:p>
    <w:p>
      <w:pPr>
        <w:spacing w:before="200" w:after="80"/>
        <w:jc w:val="left"/>
      </w:pPr>
      <w:r>
        <w:rPr>
          <w:rFonts w:ascii="Times New Roman" w:hAnsi="Times New Roman"/>
          <w:b/>
          <w:i w:val="0"/>
          <w:color w:val="000000"/>
          <w:sz w:val="24"/>
        </w:rPr>
        <w:t>2.3. Características socioculturales, lingüísticas y cosmovisión andina</w:t>
      </w:r>
    </w:p>
    <w:p>
      <w:pPr>
        <w:spacing w:line="312" w:lineRule="auto" w:before="0" w:after="80"/>
        <w:ind w:firstLine="720"/>
        <w:jc w:val="both"/>
      </w:pPr>
      <w:r>
        <w:rPr>
          <w:rFonts w:ascii="Times New Roman" w:hAnsi="Times New Roman"/>
          <w:b w:val="0"/>
          <w:i w:val="0"/>
          <w:color w:val="000000"/>
          <w:sz w:val="24"/>
        </w:rPr>
        <w:t>El entorno comunitario de Belén se distingue por una singular riqueza identitaria y una densa trama de sociabilidad popular. Históricamente, el barrio de Belén ha sido cuna de ilustres artesanos populares de Huamanga, reconocidos internacionalmente por el arte del retablo ayacuchano, la imaginería religiosa en yeso y el tallado tradicional en piedra de Huamanga. En este espacio geográfico coexisten familias tradicionales residentes desde hace generaciones con oleadas de población migrante provenientes de las zonas rurales y provincias del centro-sur ayacuchano (Víctor Fajardo, Cangallo y Vilcas Huamán), muchas de ellas asentadas a raíz de la violencia sociopolítica de las décadas pasadas.</w:t>
      </w:r>
    </w:p>
    <w:p>
      <w:pPr>
        <w:spacing w:line="312" w:lineRule="auto" w:before="0" w:after="80"/>
        <w:ind w:firstLine="720"/>
        <w:jc w:val="both"/>
      </w:pPr>
      <w:r>
        <w:rPr>
          <w:rFonts w:ascii="Times New Roman" w:hAnsi="Times New Roman"/>
          <w:b w:val="0"/>
          <w:i w:val="0"/>
          <w:color w:val="000000"/>
          <w:sz w:val="24"/>
        </w:rPr>
        <w:t>En el plano lingüístico, el 72% de la población usuaria es bilingüe activa en quechua chanka y castellano. En las generaciones de adultos mayores y en mujeres migrantes de sectores periféricos, el quechua constituye la lengua materna predominante y el vehículo exclusivo para verbalizar el sufrimiento corpóreo y anímico. Para la cosmovisión andina huamanguina, los padecimientos no son meras disfunciones biológicas aisladas, sino alteraciones del equilibrio integral del ser humano con su entorno, expresadas en nociones complejas como el dolor visceral (nanay), el estado de enfermedad integral (onqoy), la tristeza y aflicción acumulada (llakikuy), el enfriamiento del cuerpo (chiriyay) o los desórdenes espirituales derivados del espanto o susto (mancharisqa).</w:t>
      </w:r>
    </w:p>
    <w:p>
      <w:pPr>
        <w:spacing w:line="312" w:lineRule="auto" w:before="0" w:after="80"/>
        <w:ind w:firstLine="720"/>
        <w:jc w:val="both"/>
      </w:pPr>
      <w:r>
        <w:rPr>
          <w:rFonts w:ascii="Times New Roman" w:hAnsi="Times New Roman"/>
          <w:b w:val="0"/>
          <w:i w:val="0"/>
          <w:color w:val="000000"/>
          <w:sz w:val="24"/>
        </w:rPr>
        <w:t>Las pautas de sociabilidad comunitaria exigen de manera indeclinable la observancia de códigos éticos y de cortesía tradicionales basados en el respeto mutuo (respetanakuy), el saludo formal y afectuoso (napaykuy) y la acogida hospitalaria (allin chaskiy) [18]. Cuando el personal de salud —frecuentemente hispanohablante monolingüe o condicionado por la prisa protocolar— prescinde del saludo, evita el contacto visual, interrumpe el relato del usuario o emplea un léxico excesivamente tecnicista, se produce un violento quiebre comunicativo. El usuario andino interpreta esta conducta como desdén, frialdad burocrática, soberbia institucional o discriminación clasista y étnica, replegándose en el silencio (upallay) y perdiendo la confianza en el sistema asistencial.</w:t>
      </w:r>
    </w:p>
    <w:p>
      <w:pPr>
        <w:spacing w:line="312" w:lineRule="auto" w:before="0" w:after="80"/>
        <w:ind w:firstLine="720"/>
        <w:jc w:val="both"/>
      </w:pPr>
      <w:r>
        <w:rPr>
          <w:rFonts w:ascii="Times New Roman" w:hAnsi="Times New Roman"/>
          <w:b w:val="0"/>
          <w:i w:val="0"/>
          <w:color w:val="000000"/>
          <w:sz w:val="24"/>
        </w:rPr>
        <w:t>En cuanto al nivel de instrucción, el 48% de los jefes de familia cuenta con educación secundaria completa, un 26% posee secundaria incompleta o primaria, y un 8% (concentrado en adultos mayores) registra analfabetismo formal o funcional. Esta realidad representa un desafío crítico para la alfabetización en salud, pues muchos usuarios no logran descifrar las recetas médicas escritas, los calendarios de citas o la señalética institucional de los consultorios, dependiendo enteramente de la orientación verbal empática que el profesional de enfermería pueda suministrarle.</w:t>
      </w:r>
    </w:p>
    <w:p>
      <w:pPr>
        <w:spacing w:before="200" w:after="80"/>
        <w:jc w:val="left"/>
      </w:pPr>
      <w:r>
        <w:rPr>
          <w:rFonts w:ascii="Times New Roman" w:hAnsi="Times New Roman"/>
          <w:b/>
          <w:i w:val="0"/>
          <w:color w:val="000000"/>
          <w:sz w:val="24"/>
        </w:rPr>
        <w:t>2.4. Dinámica socioeconómica, vulnerabilidad y nivel de aseguramiento público</w:t>
      </w:r>
    </w:p>
    <w:p>
      <w:pPr>
        <w:spacing w:line="312" w:lineRule="auto" w:before="0" w:after="80"/>
        <w:ind w:firstLine="720"/>
        <w:jc w:val="both"/>
      </w:pPr>
      <w:r>
        <w:rPr>
          <w:rFonts w:ascii="Times New Roman" w:hAnsi="Times New Roman"/>
          <w:b w:val="0"/>
          <w:i w:val="0"/>
          <w:color w:val="000000"/>
          <w:sz w:val="24"/>
        </w:rPr>
        <w:t>La actividad socioeconómica de los hogares usuarios del Centro de Salud Belén se inserta de manera mayoritaria en el régimen de la economía popular informal y de subsistencia diaria. La Población Económicamente Activa (PEA) labora preponderantemente en el comercio ambulatorio de verduras, frutas y alimentos preparados en el Mercado Central de Belén y su concurrida feria sabatina; en el transporte menor mediante la conducción de mototaxis; en faenas eventuales de construcción civil (albañilería y peonaje); en talleres artesanales independientes; y en el trabajo doméstico no remunerado o remunerado por jornada.</w:t>
      </w:r>
    </w:p>
    <w:p>
      <w:pPr>
        <w:spacing w:line="312" w:lineRule="auto" w:before="0" w:after="80"/>
        <w:ind w:firstLine="720"/>
        <w:jc w:val="both"/>
      </w:pPr>
      <w:r>
        <w:rPr>
          <w:rFonts w:ascii="Times New Roman" w:hAnsi="Times New Roman"/>
          <w:b w:val="0"/>
          <w:i w:val="0"/>
          <w:color w:val="000000"/>
          <w:sz w:val="24"/>
        </w:rPr>
        <w:t>De acuerdo con los registros del Sistema de Focalización de Hogares (SISFOH), el 68.2% de las familias del ámbito de influencia se encuentra clasificada en situación de pobreza y pobreza extrema. En coherencia con este perfil de precariedad material, el 94.5% de la población usuaria se encuentra afiliada al régimen subsidiado del Seguro Integral de Salud (SIS).</w:t>
      </w:r>
    </w:p>
    <w:p>
      <w:pPr>
        <w:spacing w:line="312" w:lineRule="auto" w:before="0" w:after="80"/>
        <w:ind w:firstLine="720"/>
        <w:jc w:val="both"/>
      </w:pPr>
      <w:r>
        <w:rPr>
          <w:rFonts w:ascii="Times New Roman" w:hAnsi="Times New Roman"/>
          <w:b w:val="0"/>
          <w:i w:val="0"/>
          <w:color w:val="000000"/>
          <w:sz w:val="24"/>
        </w:rPr>
        <w:t>Esta dependencia casi total del aseguramiento público estatal confiere una trascendencia vital a la gratuidad del servicio. Los usuarios acuden al centro asistencial bajo la certeza legítima de que el Estado proveerá tanto el acto médico como los medicamentos necesarios para su recuperación. Cuando la farmacia del establecimiento incurre en roturas de stock o desabastecimiento de medicamentos esenciales (como antibióticos de primera línea, antipiréticos, micronutrientes para la anemia o fármacos antihipertensivos), se suscita una crisis devastadora en la economía doméstica: el usuario se ve conminado a realizar un gasto de bolsillo imprevisto en las boticas y farmacias comerciales privadas que proliferan en los alrededores del centro de salud. Para una madre que vive de las ganancias del día a día en el mercado, destinar 20 o 30 soles a la compra de fármacos implica desfinanciar la alimentación diaria del hogar, vivencia que es experimentada con honda amargura, desesperanza e impotencia frente a la precariedad del sistema público.</w:t>
      </w:r>
    </w:p>
    <w:p>
      <w:pPr>
        <w:spacing w:before="200" w:after="80"/>
        <w:jc w:val="left"/>
      </w:pPr>
      <w:r>
        <w:rPr>
          <w:rFonts w:ascii="Times New Roman" w:hAnsi="Times New Roman"/>
          <w:b/>
          <w:i w:val="0"/>
          <w:color w:val="000000"/>
          <w:sz w:val="24"/>
        </w:rPr>
        <w:t>2.5. Características sanitarias, cartera de servicios y capacidad resolutiva institucional</w:t>
      </w:r>
    </w:p>
    <w:p>
      <w:pPr>
        <w:spacing w:line="312" w:lineRule="auto" w:before="0" w:after="80"/>
        <w:ind w:firstLine="720"/>
        <w:jc w:val="both"/>
      </w:pPr>
      <w:r>
        <w:rPr>
          <w:rFonts w:ascii="Times New Roman" w:hAnsi="Times New Roman"/>
          <w:b w:val="0"/>
          <w:i w:val="0"/>
          <w:color w:val="000000"/>
          <w:sz w:val="24"/>
        </w:rPr>
        <w:t>El Centro de Salud Belén se encuentra formalmente categorizado como un establecimiento de salud del primer nivel de atención de nivel I-3 (sin internamiento hospitalario), desempeñando un papel neurálgico como cabecera de microred asistencial. Su misión operativa consiste en brindar atención integral ambulatoria, promocional, preventiva y de recuperación básica para descongestionar el Hospital Regional de Ayacucho “Miguel Ángel Mariscal Llerena” (Nivel III-1).</w:t>
      </w:r>
    </w:p>
    <w:p>
      <w:pPr>
        <w:spacing w:line="312" w:lineRule="auto" w:before="0" w:after="80"/>
        <w:ind w:firstLine="720"/>
        <w:jc w:val="both"/>
      </w:pPr>
      <w:r>
        <w:rPr>
          <w:rFonts w:ascii="Times New Roman" w:hAnsi="Times New Roman"/>
          <w:b w:val="0"/>
          <w:i w:val="0"/>
          <w:color w:val="000000"/>
          <w:sz w:val="24"/>
        </w:rPr>
        <w:t>A continuación se detalla la oferta prestacional y la distribución del talento humano asistencial disponible en el establecimiento: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26"/>
        <w:gridCol w:w="2126"/>
        <w:gridCol w:w="2126"/>
        <w:gridCol w:w="2126"/>
      </w:tblGrid>
      <w:tr>
        <w:tc>
          <w:tcPr>
            <w:tcW w:type="dxa" w:w="2154"/>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Cartera de Servicios</w:t>
            </w:r>
          </w:p>
        </w:tc>
        <w:tc>
          <w:tcPr>
            <w:tcW w:type="dxa" w:w="3515"/>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Actividades Asistenciales Principales</w:t>
            </w:r>
          </w:p>
        </w:tc>
        <w:tc>
          <w:tcPr>
            <w:tcW w:type="dxa" w:w="1417"/>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Turno</w:t>
            </w:r>
          </w:p>
        </w:tc>
        <w:tc>
          <w:tcPr>
            <w:tcW w:type="dxa" w:w="1417"/>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Personal Asignado</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Medicina General</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Consulta ambulatoria, diagnóstico clínico, prescripción médica y atención de morbilidades agudas y crónicas.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04 Médicos Cirujanos</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Enfermería (CRED e Inmunizaciones)</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Control del crecimiento y desarrollo del niño, tamizaje de anemia, vacunación del esquema regular y consejería nutricional.</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06 Lic. en Enfermería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Enfermería (TBC y No Transmisibles)</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Control de tuberculosis (PCT), administración de tratamiento DOTS, tamizaje de hipertensión arterial y diabetes mellitus.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02 Lic. en Enfermería</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Obstetricia (Salud Reproductiva)</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Control prenatal, psicoprofilaxis obstétrica, monitoreo fetal básico, planificación familiar y tamizaje de cáncer ginecológico.</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04 Lic. en Obstetricia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Odontología</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Odontología preventiva y restauradora, exodoncias simples, profilaxis dental y fluorización tópica.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 / Tarde</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02 Cirujanos Dentistas</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Psicología</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Atención de salud mental, tamizaje de violencia familiar, intervención en crisis y consejería psicológica.</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02 Lic. en Psicología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Tópico de Urgencias y Triaje</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Evaluación de signos vitales, curaciones menores, suturas simples, administración de inyectables y nebulizaciones.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12 Horas continuas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04 Técnicos de Enfermería</w:t>
            </w:r>
          </w:p>
        </w:tc>
      </w:tr>
      <w:tr>
        <w:tc>
          <w:tcPr>
            <w:tcW w:type="dxa" w:w="2154"/>
            <w:tcMar>
              <w:top w:w="60" w:type="dxa"/>
              <w:bottom w:w="60" w:type="dxa"/>
              <w:left w:w="100" w:type="dxa"/>
              <w:right w:w="100" w:type="dxa"/>
            </w:tcMar>
            <w:shd w:val="clear" w:color="auto" w:fill="F8F9FA"/>
          </w:tcPr>
          <w:p>
            <w:pPr>
              <w:spacing w:line="276" w:lineRule="auto" w:before="20" w:after="40"/>
              <w:jc w:val="left"/>
            </w:pPr>
            <w:r>
              <w:rPr>
                <w:rFonts w:ascii="Times New Roman" w:hAnsi="Times New Roman"/>
                <w:b/>
                <w:i w:val="0"/>
                <w:color w:val="000000"/>
                <w:sz w:val="18"/>
              </w:rPr>
              <w:t>Farmacia SIS</w:t>
            </w:r>
          </w:p>
        </w:tc>
        <w:tc>
          <w:tcPr>
            <w:tcW w:type="dxa" w:w="3515"/>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Almacenamiento, custodia y dispensación ambulatoria de medicamentos del petitorio oficial para afiliados SIS.</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12 Horas continuas</w:t>
            </w:r>
          </w:p>
        </w:tc>
        <w:tc>
          <w:tcPr>
            <w:tcW w:type="dxa" w:w="1417"/>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val="0"/>
                <w:i w:val="0"/>
                <w:color w:val="000000"/>
                <w:sz w:val="18"/>
              </w:rPr>
              <w:t>02 Técnicos de Farmacia</w:t>
            </w:r>
          </w:p>
        </w:tc>
      </w:tr>
      <w:tr>
        <w:tc>
          <w:tcPr>
            <w:tcW w:type="dxa" w:w="2154"/>
            <w:tcMar>
              <w:top w:w="60" w:type="dxa"/>
              <w:bottom w:w="60" w:type="dxa"/>
              <w:left w:w="100" w:type="dxa"/>
              <w:right w:w="100" w:type="dxa"/>
            </w:tcMar>
          </w:tcPr>
          <w:p>
            <w:pPr>
              <w:spacing w:line="276" w:lineRule="auto" w:before="20" w:after="40"/>
              <w:jc w:val="left"/>
            </w:pPr>
            <w:r>
              <w:rPr>
                <w:rFonts w:ascii="Times New Roman" w:hAnsi="Times New Roman"/>
                <w:b/>
                <w:i w:val="0"/>
                <w:color w:val="000000"/>
                <w:sz w:val="18"/>
              </w:rPr>
              <w:t>Laboratorio Básico</w:t>
            </w:r>
          </w:p>
        </w:tc>
        <w:tc>
          <w:tcPr>
            <w:tcW w:type="dxa" w:w="3515"/>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Toma de muestras biológicas, hematocrito/hemoglobina, frotis sanguíneo, examen de orina y baciloscopías.</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Mañana</w:t>
            </w:r>
          </w:p>
        </w:tc>
        <w:tc>
          <w:tcPr>
            <w:tcW w:type="dxa" w:w="1417"/>
            <w:tcMar>
              <w:top w:w="60" w:type="dxa"/>
              <w:bottom w:w="60" w:type="dxa"/>
              <w:left w:w="100" w:type="dxa"/>
              <w:right w:w="100" w:type="dxa"/>
            </w:tcMar>
          </w:tcPr>
          <w:p>
            <w:pPr>
              <w:spacing w:line="276" w:lineRule="auto" w:before="20" w:after="40"/>
              <w:jc w:val="center"/>
            </w:pPr>
            <w:r>
              <w:rPr>
                <w:rFonts w:ascii="Times New Roman" w:hAnsi="Times New Roman"/>
                <w:b w:val="0"/>
                <w:i w:val="0"/>
                <w:color w:val="000000"/>
                <w:sz w:val="18"/>
              </w:rPr>
              <w:t>01 Tecnólogo / Técnico</w:t>
            </w:r>
          </w:p>
        </w:tc>
      </w:tr>
    </w:tbl>
    <w:p>
      <w:pPr>
        <w:spacing w:line="312" w:lineRule="auto" w:before="0" w:after="80"/>
        <w:ind w:firstLine="720"/>
        <w:jc w:val="both"/>
      </w:pPr>
      <w:r>
        <w:rPr>
          <w:rFonts w:ascii="Times New Roman" w:hAnsi="Times New Roman"/>
          <w:b w:val="0"/>
          <w:i w:val="0"/>
          <w:color w:val="000000"/>
          <w:sz w:val="24"/>
        </w:rPr>
        <w:t>El perfil epidemiológico de la demanda ambulatoria está hegemonizado por las Infecciones Respiratorias Agudas (IRA), Enfermedades Diarreicas Agudas (EDA), parasitosis intestinal, anemia por deficiencia de hierro en niños menores de 36 meses, infecciones del tracto urinario (ITU) en mujeres en edad fértil y gestantes, lumbalgias mecánicas derivadas del trabajo físico, y patologías crónicas no transmisibles (hipertensión arterial y diabetes mellitus tipo 2) en adultos mayores.</w:t>
      </w:r>
    </w:p>
    <w:p>
      <w:pPr>
        <w:spacing w:line="312" w:lineRule="auto" w:before="0" w:after="80"/>
        <w:ind w:firstLine="720"/>
        <w:jc w:val="both"/>
      </w:pPr>
      <w:r>
        <w:rPr>
          <w:rFonts w:ascii="Times New Roman" w:hAnsi="Times New Roman"/>
          <w:b w:val="0"/>
          <w:i w:val="0"/>
          <w:color w:val="000000"/>
          <w:sz w:val="24"/>
        </w:rPr>
        <w:t>No obstante su relevancia estratégica, el establecimiento enfrenta una serie de nudos críticos institucionales y barreras operativas que inciden directamente en la subjetividad del usuario:</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i w:val="0"/>
          <w:color w:val="000000"/>
          <w:sz w:val="24"/>
        </w:rPr>
        <w:t xml:space="preserve">Mecanismo de asignación de cupos matutinos (tickets): </w:t>
      </w:r>
      <w:r>
        <w:rPr>
          <w:rFonts w:ascii="Times New Roman" w:hAnsi="Times New Roman"/>
          <w:b w:val="0"/>
          <w:i w:val="0"/>
          <w:color w:val="000000"/>
          <w:sz w:val="24"/>
        </w:rPr>
        <w:t>El establecimiento oferta un número restringido de atenciones médicas por turno (generalmente entre 12 y 16 cupos por consultorio médico), limitadas estrictamente a la jornada asistencial de 6 horas. Esta restricción cuantitativa obliga a los usuarios a disputarse los turnos desde tempranas horas de la madrugada, generando un clima de zozobra e incertidumbre donde muchas personas, tras aguardar horas en la fila exterior, reciben la notificación de que los cupos se han agotado.</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i w:val="0"/>
          <w:color w:val="000000"/>
          <w:sz w:val="24"/>
        </w:rPr>
        <w:t xml:space="preserve">Limitaciones arquitectónicas y hacinamiento espacial: </w:t>
      </w:r>
      <w:r>
        <w:rPr>
          <w:rFonts w:ascii="Times New Roman" w:hAnsi="Times New Roman"/>
          <w:b w:val="0"/>
          <w:i w:val="0"/>
          <w:color w:val="000000"/>
          <w:sz w:val="24"/>
        </w:rPr>
        <w:t>El centro de salud funciona en un inmueble cuya infraestructura original ha sido sucesivamente adaptada, presentando pasillos estrechos, salas de espera techadas pero con escaso aislamiento térmico y bancas metálicas insuficientes. La tabiquería provisional entre consultorios adolece de aislamiento acústico, lo que provoca la filtración de conversaciones clínicas y quebranta el derecho a la privacidad e intimidad corporal y emocional de los pacientes.</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i w:val="0"/>
          <w:color w:val="000000"/>
          <w:sz w:val="24"/>
        </w:rPr>
        <w:t xml:space="preserve">Inestabilidad laboral y sobrecarga burocrática: </w:t>
      </w:r>
      <w:r>
        <w:rPr>
          <w:rFonts w:ascii="Times New Roman" w:hAnsi="Times New Roman"/>
          <w:b w:val="0"/>
          <w:i w:val="0"/>
          <w:color w:val="000000"/>
          <w:sz w:val="24"/>
        </w:rPr>
        <w:t>Una fracción considerable del personal profesional y técnico se encuentra bajo regímenes de contratación temporal transitoria (CAS), lo que origina una continua rotación de profesionales que interrumpe la continuidad del vínculo afectivo con los pacientes de la comunidad. A ello se suma la sobrecarga de digitación en los sistemas informáticos (HIS-MINSA y formato FUA-SIS), la cual absorbe gran parte del tiempo de consulta, obligando al profesional a interactuar con la pantalla del computador en detrimento del contacto visual con el usuario.</w:t>
      </w:r>
    </w:p>
    <w:p>
      <w:pPr>
        <w:spacing w:before="200" w:after="80"/>
        <w:jc w:val="left"/>
      </w:pPr>
      <w:r>
        <w:rPr>
          <w:rFonts w:ascii="Times New Roman" w:hAnsi="Times New Roman"/>
          <w:b/>
          <w:i w:val="0"/>
          <w:color w:val="000000"/>
          <w:sz w:val="24"/>
        </w:rPr>
        <w:t>2.6. Articulación dialéctica del escenario físico-social con las dimensiones existenciales del usuario (Lebenswelt)</w:t>
      </w:r>
    </w:p>
    <w:p>
      <w:pPr>
        <w:spacing w:line="312" w:lineRule="auto" w:before="0" w:after="80"/>
        <w:ind w:firstLine="720"/>
        <w:jc w:val="both"/>
      </w:pPr>
      <w:r>
        <w:rPr>
          <w:rFonts w:ascii="Times New Roman" w:hAnsi="Times New Roman"/>
          <w:b w:val="0"/>
          <w:i w:val="0"/>
          <w:color w:val="000000"/>
          <w:sz w:val="24"/>
        </w:rPr>
        <w:t>En concordancia con los postulados epistemológicos de van Manen [8], Creswell [6] y Hernández-Sampieri y Mendoza [5], el mundo de la vida (Lebenswelt) de los seres humanos se articula indisolublemente a través de cuatro existenciales universales: la temporalidad, la espacialidad, la corporalidad y la relacionalidad. El marco contextual del Centro de Salud Belén no actúa como un mero telón de fondo pasivo, sino que opera como un escenario dialéctico que condiciona y da forma a cada una de estas dimensiones existenciales, tal como se sintetiza a continuación: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835"/>
        <w:gridCol w:w="2835"/>
        <w:gridCol w:w="2835"/>
      </w:tblGrid>
      <w:tr>
        <w:tc>
          <w:tcPr>
            <w:tcW w:type="dxa" w:w="1984"/>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Dimensión Existencial (Lebenswelt)</w:t>
            </w:r>
          </w:p>
        </w:tc>
        <w:tc>
          <w:tcPr>
            <w:tcW w:type="dxa" w:w="3118"/>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Manifestación Empírica en el Contexto de Belén</w:t>
            </w:r>
          </w:p>
        </w:tc>
        <w:tc>
          <w:tcPr>
            <w:tcW w:type="dxa" w:w="3402"/>
            <w:tcMar>
              <w:top w:w="80" w:type="dxa"/>
              <w:bottom w:w="80" w:type="dxa"/>
              <w:left w:w="100" w:type="dxa"/>
              <w:right w:w="100" w:type="dxa"/>
            </w:tcMar>
            <w:shd w:val="clear" w:color="auto" w:fill="EBF1F5"/>
          </w:tcPr>
          <w:p>
            <w:pPr>
              <w:spacing w:line="276" w:lineRule="auto" w:before="40" w:after="40"/>
              <w:jc w:val="center"/>
            </w:pPr>
            <w:r>
              <w:rPr>
                <w:rFonts w:ascii="Times New Roman" w:hAnsi="Times New Roman"/>
                <w:b/>
                <w:i w:val="0"/>
                <w:color w:val="000000"/>
                <w:sz w:val="19"/>
              </w:rPr>
              <w:t>Significado Vivencial y Afectivo Construido por el Usuario</w:t>
            </w:r>
          </w:p>
        </w:tc>
      </w:tr>
      <w:tr>
        <w:tc>
          <w:tcPr>
            <w:tcW w:type="dxa" w:w="1984"/>
            <w:tcMar>
              <w:top w:w="60" w:type="dxa"/>
              <w:bottom w:w="60" w:type="dxa"/>
              <w:left w:w="100" w:type="dxa"/>
              <w:right w:w="100" w:type="dxa"/>
            </w:tcMar>
          </w:tcPr>
          <w:p>
            <w:pPr>
              <w:spacing w:line="276" w:lineRule="auto" w:before="20" w:after="40"/>
              <w:jc w:val="center"/>
            </w:pPr>
            <w:r>
              <w:rPr>
                <w:rFonts w:ascii="Times New Roman" w:hAnsi="Times New Roman"/>
                <w:b/>
                <w:i w:val="0"/>
                <w:color w:val="000000"/>
                <w:sz w:val="18"/>
              </w:rPr>
              <w:t>Temporalidad (Tiempo vivido)</w:t>
            </w:r>
          </w:p>
        </w:tc>
        <w:tc>
          <w:tcPr>
            <w:tcW w:type="dxa" w:w="3118"/>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Despertar forzado a las 4:00 a.m.; horas de vigilia en la vereda a la espera de la apertura del portón (7:00 a.m.); lapsos prolongados de espera en salas (2 a 3 horas) frente a una consulta médica de apenas 10 a 15 minutos.</w:t>
            </w:r>
          </w:p>
        </w:tc>
        <w:tc>
          <w:tcPr>
            <w:tcW w:type="dxa" w:w="3402"/>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Vivencia del tiempo suspendido, angustia e impotencia ante la posibilidad de perder el cupo. Disparidad percibida entre el enorme sacrificio temporal realizado y la brevedad del contacto clínico.</w:t>
            </w:r>
          </w:p>
        </w:tc>
      </w:tr>
      <w:tr>
        <w:tc>
          <w:tcPr>
            <w:tcW w:type="dxa" w:w="1984"/>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i w:val="0"/>
                <w:color w:val="000000"/>
                <w:sz w:val="18"/>
              </w:rPr>
              <w:t>Espacialidad (Espacio vivido)</w:t>
            </w:r>
          </w:p>
        </w:tc>
        <w:tc>
          <w:tcPr>
            <w:tcW w:type="dxa" w:w="3118"/>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La vereda exterior pública; el portón de rejas de metal; los pasadizos estrechos abarrotados de pacientes; consultorios con paredes divisorias delgadas que dejan filtrar voces e intimidades; ventanilla de admisión con rejas o vidrio.</w:t>
            </w:r>
          </w:p>
        </w:tc>
        <w:tc>
          <w:tcPr>
            <w:tcW w:type="dxa" w:w="3402"/>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Sensación de hacinamiento, exposición pública y pérdida de intimidad. La ventanilla y el portón operan como fronteras físicas y simbólicas que separan al usuario del poder biomédico institucional.</w:t>
            </w:r>
          </w:p>
        </w:tc>
      </w:tr>
      <w:tr>
        <w:tc>
          <w:tcPr>
            <w:tcW w:type="dxa" w:w="1984"/>
            <w:tcMar>
              <w:top w:w="60" w:type="dxa"/>
              <w:bottom w:w="60" w:type="dxa"/>
              <w:left w:w="100" w:type="dxa"/>
              <w:right w:w="100" w:type="dxa"/>
            </w:tcMar>
          </w:tcPr>
          <w:p>
            <w:pPr>
              <w:spacing w:line="276" w:lineRule="auto" w:before="20" w:after="40"/>
              <w:jc w:val="center"/>
            </w:pPr>
            <w:r>
              <w:rPr>
                <w:rFonts w:ascii="Times New Roman" w:hAnsi="Times New Roman"/>
                <w:b/>
                <w:i w:val="0"/>
                <w:color w:val="000000"/>
                <w:sz w:val="18"/>
              </w:rPr>
              <w:t>Corporalidad (Cuerpo vivido)</w:t>
            </w:r>
          </w:p>
        </w:tc>
        <w:tc>
          <w:tcPr>
            <w:tcW w:type="dxa" w:w="3118"/>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Frío lacerante de la madrugada andina (5 °C a 8 °C); fatiga física muscular por permanecer de pie durante horas; hambre y sed por asistir en ayunas; llanto de los infantes acatarrados en mantas; dolores articulares intensificados por la intemperie.</w:t>
            </w:r>
          </w:p>
        </w:tc>
        <w:tc>
          <w:tcPr>
            <w:tcW w:type="dxa" w:w="3402"/>
            <w:tcMar>
              <w:top w:w="60" w:type="dxa"/>
              <w:bottom w:w="60" w:type="dxa"/>
              <w:left w:w="100" w:type="dxa"/>
              <w:right w:w="100" w:type="dxa"/>
            </w:tcMar>
          </w:tcPr>
          <w:p>
            <w:pPr>
              <w:spacing w:line="276" w:lineRule="auto" w:before="20" w:after="40"/>
              <w:jc w:val="both"/>
            </w:pPr>
            <w:r>
              <w:rPr>
                <w:rFonts w:ascii="Times New Roman" w:hAnsi="Times New Roman"/>
                <w:b w:val="0"/>
                <w:i w:val="0"/>
                <w:color w:val="000000"/>
                <w:sz w:val="18"/>
              </w:rPr>
              <w:t>El cuerpo enfermo no es un objeto abstracto: es el asiento directo de la vulnerabilidad física, el dolor y la incomodidad somática. El acto asistencial es ansiado como un alivio palpable a la opresión del cuerpo.</w:t>
            </w:r>
          </w:p>
        </w:tc>
      </w:tr>
      <w:tr>
        <w:tc>
          <w:tcPr>
            <w:tcW w:type="dxa" w:w="1984"/>
            <w:tcMar>
              <w:top w:w="60" w:type="dxa"/>
              <w:bottom w:w="60" w:type="dxa"/>
              <w:left w:w="100" w:type="dxa"/>
              <w:right w:w="100" w:type="dxa"/>
            </w:tcMar>
            <w:shd w:val="clear" w:color="auto" w:fill="F8F9FA"/>
          </w:tcPr>
          <w:p>
            <w:pPr>
              <w:spacing w:line="276" w:lineRule="auto" w:before="20" w:after="40"/>
              <w:jc w:val="center"/>
            </w:pPr>
            <w:r>
              <w:rPr>
                <w:rFonts w:ascii="Times New Roman" w:hAnsi="Times New Roman"/>
                <w:b/>
                <w:i w:val="0"/>
                <w:color w:val="000000"/>
                <w:sz w:val="18"/>
              </w:rPr>
              <w:t>Relacionalidad (Relación vivida con los otros)</w:t>
            </w:r>
          </w:p>
        </w:tc>
        <w:tc>
          <w:tcPr>
            <w:tcW w:type="dxa" w:w="3118"/>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Encuentro intersubjetivo entre el usuario quechua-mestizo vulnerable y el personal sanitario; presencia del saludo cordial (napaykuy) o su omisión; mirada a los ojos frente a la mirada fija en el monitor; paciencia explicativa o respuestas cortantes.</w:t>
            </w:r>
          </w:p>
        </w:tc>
        <w:tc>
          <w:tcPr>
            <w:tcW w:type="dxa" w:w="3402"/>
            <w:tcMar>
              <w:top w:w="60" w:type="dxa"/>
              <w:bottom w:w="60" w:type="dxa"/>
              <w:left w:w="100" w:type="dxa"/>
              <w:right w:w="100" w:type="dxa"/>
            </w:tcMar>
            <w:shd w:val="clear" w:color="auto" w:fill="F8F9FA"/>
          </w:tcPr>
          <w:p>
            <w:pPr>
              <w:spacing w:line="276" w:lineRule="auto" w:before="20" w:after="40"/>
              <w:jc w:val="both"/>
            </w:pPr>
            <w:r>
              <w:rPr>
                <w:rFonts w:ascii="Times New Roman" w:hAnsi="Times New Roman"/>
                <w:b w:val="0"/>
                <w:i w:val="0"/>
                <w:color w:val="000000"/>
                <w:sz w:val="18"/>
              </w:rPr>
              <w:t>La calidad se define en la dignidad del trato interpersonal: el usuario busca acogida humana (allin chaskiy), respeto mutuo (respetanakuy) y comprensión en su propia lengua. La calidez del cuidado de enfermería transforma el desamparo en alivio y gratitud.</w:t>
            </w:r>
          </w:p>
        </w:tc>
      </w:tr>
    </w:tbl>
    <w:p>
      <w:pPr>
        <w:spacing w:line="312" w:lineRule="auto" w:before="0" w:after="80"/>
        <w:ind w:firstLine="720"/>
        <w:jc w:val="both"/>
      </w:pPr>
      <w:r>
        <w:rPr>
          <w:rFonts w:ascii="Times New Roman" w:hAnsi="Times New Roman"/>
          <w:b w:val="0"/>
          <w:i w:val="0"/>
          <w:color w:val="000000"/>
          <w:sz w:val="24"/>
        </w:rPr>
        <w:t>Esta articulación multidimensional confirma que, para el usuario del Centro de Salud Belén, la “calidad de atención” trasciende ampliamente los parámetros gerenciales o el abastecimiento técnico; constituye una experiencia existencial totalizante donde el cuerpo aterido, el tiempo sacrificado, el espacio habitado y el trato humano recibido configuran la esencia de su satisfacción o sufrimiento frente al sistema público de salud.</w:t>
      </w:r>
    </w:p>
    <w:p>
      <w:pPr>
        <w:sectPr>
          <w:headerReference w:type="default" r:id="rId19"/>
          <w:footerReference w:type="default" r:id="rId20"/>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REFERENCIAS BIBLIOGRÁFICAS</w:t>
      </w:r>
    </w:p>
    <w:p>
      <w:pPr>
        <w:spacing w:line="312" w:lineRule="auto" w:before="0" w:after="80"/>
        <w:ind w:left="720" w:hanging="720"/>
        <w:jc w:val="both"/>
      </w:pPr>
      <w:r>
        <w:rPr>
          <w:rFonts w:ascii="Times New Roman" w:hAnsi="Times New Roman"/>
          <w:b w:val="0"/>
          <w:i w:val="0"/>
          <w:color w:val="000000"/>
          <w:sz w:val="24"/>
        </w:rPr>
        <w:t xml:space="preserve">[1]  </w:t>
      </w:r>
      <w:r>
        <w:rPr>
          <w:rFonts w:ascii="Times New Roman" w:hAnsi="Times New Roman"/>
          <w:b w:val="0"/>
          <w:i w:val="0"/>
          <w:color w:val="000000"/>
          <w:sz w:val="24"/>
        </w:rPr>
        <w:t>World Health Organization, OECD, The World Bank. Delivering quality health services: a global imperative for universal health coverage. Geneva: World Health Organization; 2018.</w:t>
      </w:r>
    </w:p>
    <w:p>
      <w:pPr>
        <w:spacing w:line="312" w:lineRule="auto" w:before="0" w:after="80"/>
        <w:ind w:left="720" w:hanging="720"/>
        <w:jc w:val="both"/>
      </w:pPr>
      <w:r>
        <w:rPr>
          <w:rFonts w:ascii="Times New Roman" w:hAnsi="Times New Roman"/>
          <w:b w:val="0"/>
          <w:i w:val="0"/>
          <w:color w:val="000000"/>
          <w:sz w:val="24"/>
        </w:rPr>
        <w:t xml:space="preserve">[2]  </w:t>
      </w:r>
      <w:r>
        <w:rPr>
          <w:rFonts w:ascii="Times New Roman" w:hAnsi="Times New Roman"/>
          <w:b w:val="0"/>
          <w:i w:val="0"/>
          <w:color w:val="000000"/>
          <w:sz w:val="24"/>
        </w:rPr>
        <w:t>Ministerio de Salud del Perú. Política Nacional de Calidad en Salud: Documento Técnico. Lima: MINSA; 2021.</w:t>
      </w:r>
    </w:p>
    <w:p>
      <w:pPr>
        <w:spacing w:line="312" w:lineRule="auto" w:before="0" w:after="80"/>
        <w:ind w:left="720" w:hanging="720"/>
        <w:jc w:val="both"/>
      </w:pPr>
      <w:r>
        <w:rPr>
          <w:rFonts w:ascii="Times New Roman" w:hAnsi="Times New Roman"/>
          <w:b w:val="0"/>
          <w:i w:val="0"/>
          <w:color w:val="000000"/>
          <w:sz w:val="24"/>
        </w:rPr>
        <w:t xml:space="preserve">[3]  </w:t>
      </w:r>
      <w:r>
        <w:rPr>
          <w:rFonts w:ascii="Times New Roman" w:hAnsi="Times New Roman"/>
          <w:b w:val="0"/>
          <w:i w:val="0"/>
          <w:color w:val="000000"/>
          <w:sz w:val="24"/>
        </w:rPr>
        <w:t>Ministerio de Salud del Perú. Líneas de Investigación en Salud al 2030: Resolución Ministerial N° 424-2025/MINSA. Lima: MINSA; 2025.</w:t>
      </w:r>
    </w:p>
    <w:p>
      <w:pPr>
        <w:spacing w:line="312" w:lineRule="auto" w:before="0" w:after="80"/>
        <w:ind w:left="720" w:hanging="720"/>
        <w:jc w:val="both"/>
      </w:pPr>
      <w:r>
        <w:rPr>
          <w:rFonts w:ascii="Times New Roman" w:hAnsi="Times New Roman"/>
          <w:b w:val="0"/>
          <w:i w:val="0"/>
          <w:color w:val="000000"/>
          <w:sz w:val="24"/>
        </w:rPr>
        <w:t xml:space="preserve">[4]  </w:t>
      </w:r>
      <w:r>
        <w:rPr>
          <w:rFonts w:ascii="Times New Roman" w:hAnsi="Times New Roman"/>
          <w:b w:val="0"/>
          <w:i w:val="0"/>
          <w:color w:val="000000"/>
          <w:sz w:val="24"/>
        </w:rPr>
        <w:t>Dirección Regional de Salud de Ayacucho. Prioridades Regionales de Investigación en Salud de Ayacucho 2025–2030. Ayacucho: DIRESA Ayacucho; 2025.</w:t>
      </w:r>
    </w:p>
    <w:p>
      <w:pPr>
        <w:spacing w:line="312" w:lineRule="auto" w:before="0" w:after="80"/>
        <w:ind w:left="720" w:hanging="720"/>
        <w:jc w:val="both"/>
      </w:pPr>
      <w:r>
        <w:rPr>
          <w:rFonts w:ascii="Times New Roman" w:hAnsi="Times New Roman"/>
          <w:b w:val="0"/>
          <w:i w:val="0"/>
          <w:color w:val="000000"/>
          <w:sz w:val="24"/>
        </w:rPr>
        <w:t xml:space="preserve">[5]  </w:t>
      </w:r>
      <w:r>
        <w:rPr>
          <w:rFonts w:ascii="Times New Roman" w:hAnsi="Times New Roman"/>
          <w:b w:val="0"/>
          <w:i w:val="0"/>
          <w:color w:val="000000"/>
          <w:sz w:val="24"/>
        </w:rPr>
        <w:t>Hernández-Sampieri R, Mendoza CP. Metodología de la investigación: las rutas cuantitativa, cualitativa y mixta. Ciudad de México: McGraw-Hill; 2018.</w:t>
      </w:r>
    </w:p>
    <w:p>
      <w:pPr>
        <w:spacing w:line="312" w:lineRule="auto" w:before="0" w:after="80"/>
        <w:ind w:left="720" w:hanging="720"/>
        <w:jc w:val="both"/>
      </w:pPr>
      <w:r>
        <w:rPr>
          <w:rFonts w:ascii="Times New Roman" w:hAnsi="Times New Roman"/>
          <w:b w:val="0"/>
          <w:i w:val="0"/>
          <w:color w:val="000000"/>
          <w:sz w:val="24"/>
        </w:rPr>
        <w:t xml:space="preserve">[6]  </w:t>
      </w:r>
      <w:r>
        <w:rPr>
          <w:rFonts w:ascii="Times New Roman" w:hAnsi="Times New Roman"/>
          <w:b w:val="0"/>
          <w:i w:val="0"/>
          <w:color w:val="000000"/>
          <w:sz w:val="24"/>
        </w:rPr>
        <w:t>Creswell JW. Qualitative inquiry and research design: Choosing among five approaches. 3rd ed. Thousand Oaks (CA): SAGE Publications; 2013.</w:t>
      </w:r>
    </w:p>
    <w:p>
      <w:pPr>
        <w:spacing w:line="312" w:lineRule="auto" w:before="0" w:after="80"/>
        <w:ind w:left="720" w:hanging="720"/>
        <w:jc w:val="both"/>
      </w:pPr>
      <w:r>
        <w:rPr>
          <w:rFonts w:ascii="Times New Roman" w:hAnsi="Times New Roman"/>
          <w:b w:val="0"/>
          <w:i w:val="0"/>
          <w:color w:val="000000"/>
          <w:sz w:val="24"/>
        </w:rPr>
        <w:t xml:space="preserve">[7]  </w:t>
      </w:r>
      <w:r>
        <w:rPr>
          <w:rFonts w:ascii="Times New Roman" w:hAnsi="Times New Roman"/>
          <w:b w:val="0"/>
          <w:i w:val="0"/>
          <w:color w:val="000000"/>
          <w:sz w:val="24"/>
        </w:rPr>
        <w:t>Husserl E. Ideas relativas a una fenomenología pura y una filosofía fenomenológica. Gaos J, traductor. México D.F.: Fondo de Cultura Económica; 1949.</w:t>
      </w:r>
    </w:p>
    <w:p>
      <w:pPr>
        <w:spacing w:line="312" w:lineRule="auto" w:before="0" w:after="80"/>
        <w:ind w:left="720" w:hanging="720"/>
        <w:jc w:val="both"/>
      </w:pPr>
      <w:r>
        <w:rPr>
          <w:rFonts w:ascii="Times New Roman" w:hAnsi="Times New Roman"/>
          <w:b w:val="0"/>
          <w:i w:val="0"/>
          <w:color w:val="000000"/>
          <w:sz w:val="24"/>
        </w:rPr>
        <w:t xml:space="preserve">[8]  </w:t>
      </w:r>
      <w:r>
        <w:rPr>
          <w:rFonts w:ascii="Times New Roman" w:hAnsi="Times New Roman"/>
          <w:b w:val="0"/>
          <w:i w:val="0"/>
          <w:color w:val="000000"/>
          <w:sz w:val="24"/>
        </w:rPr>
        <w:t>van Manen M. Researching lived experience: Human science for an action sensitive pedagogy. Albany (NY): State University of New York Press; 1990.</w:t>
      </w:r>
    </w:p>
    <w:p>
      <w:pPr>
        <w:spacing w:line="312" w:lineRule="auto" w:before="0" w:after="80"/>
        <w:ind w:left="720" w:hanging="720"/>
        <w:jc w:val="both"/>
      </w:pPr>
      <w:r>
        <w:rPr>
          <w:rFonts w:ascii="Times New Roman" w:hAnsi="Times New Roman"/>
          <w:b w:val="0"/>
          <w:i w:val="0"/>
          <w:color w:val="000000"/>
          <w:sz w:val="24"/>
        </w:rPr>
        <w:t xml:space="preserve">[9]  </w:t>
      </w:r>
      <w:r>
        <w:rPr>
          <w:rFonts w:ascii="Times New Roman" w:hAnsi="Times New Roman"/>
          <w:b w:val="0"/>
          <w:i w:val="0"/>
          <w:color w:val="000000"/>
          <w:sz w:val="24"/>
        </w:rPr>
        <w:t>Donabedian A. Explorations in Quality Assessment and Monitoring. Vol. 1: The Definition of Quality and Approaches to its Assessment. Ann Arbor (MI): Health Administration Press; 1980.</w:t>
      </w:r>
    </w:p>
    <w:p>
      <w:pPr>
        <w:spacing w:line="312" w:lineRule="auto" w:before="0" w:after="80"/>
        <w:ind w:left="720" w:hanging="720"/>
        <w:jc w:val="both"/>
      </w:pPr>
      <w:r>
        <w:rPr>
          <w:rFonts w:ascii="Times New Roman" w:hAnsi="Times New Roman"/>
          <w:b w:val="0"/>
          <w:i w:val="0"/>
          <w:color w:val="000000"/>
          <w:sz w:val="24"/>
        </w:rPr>
        <w:t xml:space="preserve">[10]  </w:t>
      </w:r>
      <w:r>
        <w:rPr>
          <w:rFonts w:ascii="Times New Roman" w:hAnsi="Times New Roman"/>
          <w:b w:val="0"/>
          <w:i w:val="0"/>
          <w:color w:val="000000"/>
          <w:sz w:val="24"/>
        </w:rPr>
        <w:t>Donabedian A. Evaluating the quality of medical care. 1966. Milbank Q. 2005;83(4):691-729.</w:t>
      </w:r>
    </w:p>
    <w:p>
      <w:pPr>
        <w:spacing w:line="312" w:lineRule="auto" w:before="0" w:after="80"/>
        <w:ind w:left="720" w:hanging="720"/>
        <w:jc w:val="both"/>
      </w:pPr>
      <w:r>
        <w:rPr>
          <w:rFonts w:ascii="Times New Roman" w:hAnsi="Times New Roman"/>
          <w:b w:val="0"/>
          <w:i w:val="0"/>
          <w:color w:val="000000"/>
          <w:sz w:val="24"/>
        </w:rPr>
        <w:t xml:space="preserve">[11]  </w:t>
      </w:r>
      <w:r>
        <w:rPr>
          <w:rFonts w:ascii="Times New Roman" w:hAnsi="Times New Roman"/>
          <w:b w:val="0"/>
          <w:i w:val="0"/>
          <w:color w:val="000000"/>
          <w:sz w:val="24"/>
        </w:rPr>
        <w:t>Penchansky R, Thomas JW. The concept of access: definition and relationship to consumer satisfaction. Med Care. 1981;19(2):127-40.</w:t>
      </w:r>
    </w:p>
    <w:p>
      <w:pPr>
        <w:spacing w:line="312" w:lineRule="auto" w:before="0" w:after="80"/>
        <w:ind w:left="720" w:hanging="720"/>
        <w:jc w:val="both"/>
      </w:pPr>
      <w:r>
        <w:rPr>
          <w:rFonts w:ascii="Times New Roman" w:hAnsi="Times New Roman"/>
          <w:b w:val="0"/>
          <w:i w:val="0"/>
          <w:color w:val="000000"/>
          <w:sz w:val="24"/>
        </w:rPr>
        <w:t xml:space="preserve">[12]  </w:t>
      </w:r>
      <w:r>
        <w:rPr>
          <w:rFonts w:ascii="Times New Roman" w:hAnsi="Times New Roman"/>
          <w:b w:val="0"/>
          <w:i w:val="0"/>
          <w:color w:val="000000"/>
          <w:sz w:val="24"/>
        </w:rPr>
        <w:t>Watson J. Nursing: The philosophy and science of caring. 2nd ed. Boulder: University Press of Colorado; 2008.</w:t>
      </w:r>
    </w:p>
    <w:p>
      <w:pPr>
        <w:spacing w:line="312" w:lineRule="auto" w:before="0" w:after="80"/>
        <w:ind w:left="720" w:hanging="720"/>
        <w:jc w:val="both"/>
      </w:pPr>
      <w:r>
        <w:rPr>
          <w:rFonts w:ascii="Times New Roman" w:hAnsi="Times New Roman"/>
          <w:b w:val="0"/>
          <w:i w:val="0"/>
          <w:color w:val="000000"/>
          <w:sz w:val="24"/>
        </w:rPr>
        <w:t xml:space="preserve">[13]  </w:t>
      </w:r>
      <w:r>
        <w:rPr>
          <w:rFonts w:ascii="Times New Roman" w:hAnsi="Times New Roman"/>
          <w:b w:val="0"/>
          <w:i w:val="0"/>
          <w:color w:val="000000"/>
          <w:sz w:val="24"/>
        </w:rPr>
        <w:t>Lincoln YS, Guba EG. Naturalistic Inquiry. Beverly Hills (CA): SAGE Publications; 1985.</w:t>
      </w:r>
    </w:p>
    <w:p>
      <w:pPr>
        <w:spacing w:line="312" w:lineRule="auto" w:before="0" w:after="80"/>
        <w:ind w:left="720" w:hanging="720"/>
        <w:jc w:val="both"/>
      </w:pPr>
      <w:r>
        <w:rPr>
          <w:rFonts w:ascii="Times New Roman" w:hAnsi="Times New Roman"/>
          <w:b w:val="0"/>
          <w:i w:val="0"/>
          <w:color w:val="000000"/>
          <w:sz w:val="24"/>
        </w:rPr>
        <w:t xml:space="preserve">[14]  </w:t>
      </w:r>
      <w:r>
        <w:rPr>
          <w:rFonts w:ascii="Times New Roman" w:hAnsi="Times New Roman"/>
          <w:b w:val="0"/>
          <w:i w:val="0"/>
          <w:color w:val="000000"/>
          <w:sz w:val="24"/>
        </w:rPr>
        <w:t>Okuda Benavides M, Gómez-Restrepo C. Métodos en investigación cualitativa: triangulación. Rev Colomb Psiquiatr. 2005;34(1):118-24.</w:t>
      </w:r>
    </w:p>
    <w:p>
      <w:pPr>
        <w:spacing w:line="312" w:lineRule="auto" w:before="0" w:after="80"/>
        <w:ind w:left="720" w:hanging="720"/>
        <w:jc w:val="both"/>
      </w:pPr>
      <w:r>
        <w:rPr>
          <w:rFonts w:ascii="Times New Roman" w:hAnsi="Times New Roman"/>
          <w:b w:val="0"/>
          <w:i w:val="0"/>
          <w:color w:val="000000"/>
          <w:sz w:val="24"/>
        </w:rPr>
        <w:t xml:space="preserve">[15]  </w:t>
      </w:r>
      <w:r>
        <w:rPr>
          <w:rFonts w:ascii="Times New Roman" w:hAnsi="Times New Roman"/>
          <w:b w:val="0"/>
          <w:i w:val="0"/>
          <w:color w:val="000000"/>
          <w:sz w:val="24"/>
        </w:rPr>
        <w:t>Bunge M. La ciencia, su método y su filosofía. Buenos Aires: Editorial Sudamericana; 2014.</w:t>
      </w:r>
    </w:p>
    <w:p>
      <w:pPr>
        <w:spacing w:line="312" w:lineRule="auto" w:before="0" w:after="80"/>
        <w:ind w:left="720" w:hanging="720"/>
        <w:jc w:val="both"/>
      </w:pPr>
      <w:r>
        <w:rPr>
          <w:rFonts w:ascii="Times New Roman" w:hAnsi="Times New Roman"/>
          <w:b w:val="0"/>
          <w:i w:val="0"/>
          <w:color w:val="000000"/>
          <w:sz w:val="24"/>
        </w:rPr>
        <w:t xml:space="preserve">[16]  </w:t>
      </w:r>
      <w:r>
        <w:rPr>
          <w:rFonts w:ascii="Times New Roman" w:hAnsi="Times New Roman"/>
          <w:b w:val="0"/>
          <w:i w:val="0"/>
          <w:color w:val="000000"/>
          <w:sz w:val="24"/>
        </w:rPr>
        <w:t>Asociación Médica Mundial. Declaración de Helsinki de la AMM: Principios éticos para las investigaciones médicas en seres humanos. Ferney-Voltaire: WMA; 2013.</w:t>
      </w:r>
    </w:p>
    <w:p>
      <w:pPr>
        <w:spacing w:line="312" w:lineRule="auto" w:before="0" w:after="80"/>
        <w:ind w:left="720" w:hanging="720"/>
        <w:jc w:val="both"/>
      </w:pPr>
      <w:r>
        <w:rPr>
          <w:rFonts w:ascii="Times New Roman" w:hAnsi="Times New Roman"/>
          <w:b w:val="0"/>
          <w:i w:val="0"/>
          <w:color w:val="000000"/>
          <w:sz w:val="24"/>
        </w:rPr>
        <w:t xml:space="preserve">[17]  </w:t>
      </w:r>
      <w:r>
        <w:rPr>
          <w:rFonts w:ascii="Times New Roman" w:hAnsi="Times New Roman"/>
          <w:b w:val="0"/>
          <w:i w:val="0"/>
          <w:color w:val="000000"/>
          <w:sz w:val="24"/>
        </w:rPr>
        <w:t>Consejo de Organizaciones Internacionales de las Ciencias Médicas (CIOMS). Pautas éticas internacionales para la investigación relacionada con la salud con seres humanos. Ginebra: CIOMS; 2016.</w:t>
      </w:r>
    </w:p>
    <w:p>
      <w:pPr>
        <w:spacing w:line="312" w:lineRule="auto" w:before="0" w:after="80"/>
        <w:ind w:left="720" w:hanging="720"/>
        <w:jc w:val="both"/>
      </w:pPr>
      <w:r>
        <w:rPr>
          <w:rFonts w:ascii="Times New Roman" w:hAnsi="Times New Roman"/>
          <w:b w:val="0"/>
          <w:i w:val="0"/>
          <w:color w:val="000000"/>
          <w:sz w:val="24"/>
        </w:rPr>
        <w:t xml:space="preserve">[18]  </w:t>
      </w:r>
      <w:r>
        <w:rPr>
          <w:rFonts w:ascii="Times New Roman" w:hAnsi="Times New Roman"/>
          <w:b w:val="0"/>
          <w:i w:val="0"/>
          <w:color w:val="000000"/>
          <w:sz w:val="24"/>
        </w:rPr>
        <w:t>Aguirre-Andrade M, Tenorio-Acosta I, Rivas-Díaz L, Valenzuela-Oré F, Sánchez-Simbrón M, Quino-Huamaní F. Promoción de salud y nivel de salubridad de las familias, en comunidades del Distrito de Cangallo, Ayacucho 2020. Rev Investig Salud. 2020;14(2):45-58.</w:t>
      </w:r>
    </w:p>
    <w:p>
      <w:pPr>
        <w:spacing w:line="312" w:lineRule="auto" w:before="0" w:after="80"/>
        <w:ind w:left="720" w:hanging="720"/>
        <w:jc w:val="both"/>
      </w:pPr>
      <w:r>
        <w:rPr>
          <w:rFonts w:ascii="Times New Roman" w:hAnsi="Times New Roman"/>
          <w:b w:val="0"/>
          <w:i w:val="0"/>
          <w:color w:val="000000"/>
          <w:sz w:val="24"/>
        </w:rPr>
        <w:t xml:space="preserve">[19]  </w:t>
      </w:r>
      <w:r>
        <w:rPr>
          <w:rFonts w:ascii="Times New Roman" w:hAnsi="Times New Roman"/>
          <w:b w:val="0"/>
          <w:i w:val="0"/>
          <w:color w:val="000000"/>
          <w:sz w:val="24"/>
        </w:rPr>
        <w:t>Parasuraman A, Zeithaml VA, Berry LL. SERVQUAL: A multiple-item scale for measuring consumer perceptions of service quality. J Retailing. 1988;64(1):12-40.</w:t>
      </w:r>
    </w:p>
    <w:p>
      <w:pPr>
        <w:spacing w:line="312" w:lineRule="auto" w:before="0" w:after="80"/>
        <w:ind w:left="720" w:hanging="720"/>
        <w:jc w:val="both"/>
      </w:pPr>
      <w:r>
        <w:rPr>
          <w:rFonts w:ascii="Times New Roman" w:hAnsi="Times New Roman"/>
          <w:b w:val="0"/>
          <w:i w:val="0"/>
          <w:color w:val="000000"/>
          <w:sz w:val="24"/>
        </w:rPr>
        <w:t xml:space="preserve">[20]  </w:t>
      </w:r>
      <w:r>
        <w:rPr>
          <w:rFonts w:ascii="Times New Roman" w:hAnsi="Times New Roman"/>
          <w:b w:val="0"/>
          <w:i w:val="0"/>
          <w:color w:val="000000"/>
          <w:sz w:val="24"/>
        </w:rPr>
        <w:t>Ministerio de Salud del Perú. Guía técnica para la evaluación de la satisfacción del usuario externo en los establecimientos de salud y servicios médicos de apoyo: Resolución Ministerial N° 527-2011/MINSA. Lima: MINSA; 2011.</w:t>
      </w:r>
    </w:p>
    <w:p>
      <w:pPr>
        <w:sectPr>
          <w:headerReference w:type="default" r:id="rId21"/>
          <w:footerReference w:type="default" r:id="rId22"/>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ANEXOS</w:t>
      </w:r>
    </w:p>
    <w:p>
      <w:pPr>
        <w:spacing w:before="200" w:after="80"/>
        <w:jc w:val="left"/>
      </w:pPr>
      <w:r>
        <w:rPr>
          <w:rFonts w:ascii="Times New Roman" w:hAnsi="Times New Roman"/>
          <w:b/>
          <w:i w:val="0"/>
          <w:color w:val="000000"/>
          <w:sz w:val="24"/>
        </w:rPr>
        <w:t>ANEXO 1: GUÍA DE ENTREVISTA A PROFUNDIDAD SEMIESTRUCTURADA</w:t>
      </w:r>
    </w:p>
    <w:p>
      <w:pPr>
        <w:spacing w:line="312" w:lineRule="auto" w:before="0" w:after="80"/>
        <w:jc w:val="both"/>
      </w:pPr>
      <w:r>
        <w:rPr>
          <w:rFonts w:ascii="Times New Roman" w:hAnsi="Times New Roman"/>
          <w:b/>
          <w:i w:val="0"/>
          <w:color w:val="000000"/>
          <w:sz w:val="24"/>
        </w:rPr>
        <w:t xml:space="preserve">Título: </w:t>
      </w:r>
      <w:r>
        <w:rPr>
          <w:rFonts w:ascii="Times New Roman" w:hAnsi="Times New Roman"/>
          <w:b w:val="0"/>
          <w:i w:val="0"/>
          <w:color w:val="000000"/>
          <w:sz w:val="24"/>
        </w:rPr>
        <w:t>Percepción de la calidad de atención en usuarios del Centro de Salud Belén, Ayacucho 2026.</w:t>
      </w:r>
    </w:p>
    <w:p>
      <w:pPr>
        <w:spacing w:line="312" w:lineRule="auto" w:before="0" w:after="80"/>
        <w:jc w:val="both"/>
      </w:pPr>
      <w:r>
        <w:rPr>
          <w:rFonts w:ascii="Times New Roman" w:hAnsi="Times New Roman"/>
          <w:b/>
          <w:i w:val="0"/>
          <w:color w:val="000000"/>
          <w:sz w:val="24"/>
        </w:rPr>
        <w:t xml:space="preserve">Objetivo: </w:t>
      </w:r>
      <w:r>
        <w:rPr>
          <w:rFonts w:ascii="Times New Roman" w:hAnsi="Times New Roman"/>
          <w:b w:val="0"/>
          <w:i w:val="0"/>
          <w:color w:val="000000"/>
          <w:sz w:val="24"/>
        </w:rPr>
        <w:t>Recoger la experiencia vivencial del usuario sobre la atención recibida en el Centro de Salud Belén.</w:t>
      </w:r>
    </w:p>
    <w:p>
      <w:pPr>
        <w:spacing w:before="160" w:after="60"/>
        <w:jc w:val="left"/>
      </w:pPr>
      <w:r>
        <w:rPr>
          <w:rFonts w:ascii="Times New Roman" w:hAnsi="Times New Roman"/>
          <w:b/>
          <w:i/>
          <w:color w:val="000000"/>
          <w:sz w:val="24"/>
        </w:rPr>
        <w:t>I. Preguntas de Apertura y Clima de Confianza:</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¿Podría relatarme qué le motivó a acudir el día de hoy al Centro de Salud Belén?</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¿Con qué frecuencia asiste a este establecimiento y qué servicios o áreas suele visitar habitualmente?</w:t>
      </w:r>
    </w:p>
    <w:p>
      <w:pPr>
        <w:spacing w:before="160" w:after="60"/>
        <w:jc w:val="left"/>
      </w:pPr>
      <w:r>
        <w:rPr>
          <w:rFonts w:ascii="Times New Roman" w:hAnsi="Times New Roman"/>
          <w:b/>
          <w:i/>
          <w:color w:val="000000"/>
          <w:sz w:val="24"/>
        </w:rPr>
        <w:t>II. Preguntas por Dimensiones y Categorías Temáticas:</w:t>
      </w:r>
    </w:p>
    <w:p>
      <w:pPr>
        <w:spacing w:before="160" w:after="60"/>
        <w:jc w:val="left"/>
      </w:pPr>
      <w:r>
        <w:rPr>
          <w:rFonts w:ascii="Times New Roman" w:hAnsi="Times New Roman"/>
          <w:b/>
          <w:i/>
          <w:color w:val="000000"/>
          <w:sz w:val="24"/>
        </w:rPr>
        <w:t>II. Preguntas por Dimensiones y Categorías Temáticas:</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1: Acceso, disponibilidad de cupos y madrugadas (Existencial: Temporalidad)</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¿A qué hora tuvo que salir de su casa y hacer fila para conseguir un cupo o turno de atención? ¿Qué vivencias, frío y dificultades atravesó mientras esperaba de madrugada?</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2: Emociones, cansancio y sentires afectivos (Existencial: Corporalidad y Afecto)</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¿Cuáles son los sentimientos o emociones (tranquilidad, alivio, tristeza, enojo, impotencia, cansancio físico o dolor) que experimentó su cuerpo a lo largo de las horas de espera hasta ingresar a la consulta?</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3: Afrontamiento y respuesta vivencial ante trabas o desabastecimiento</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Si en farmacia no tuvieron todas las medicinas que le recetaron o si el médico demoró en atenderle, ¿cómo reaccionó usted? ¿Tuvo que gastar su propio dinero en boticas particulares?</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4: Formas de interacción, trato humano y empatía (Existencial: Relacionalidad / Encuentro Interpersonal)</w:t>
      </w:r>
    </w:p>
    <w:p>
      <w:pPr>
        <w:spacing w:line="312" w:lineRule="auto" w:before="20" w:after="60"/>
        <w:ind w:left="850" w:hanging="454"/>
        <w:jc w:val="both"/>
      </w:pPr>
      <w:r>
        <w:rPr>
          <w:rFonts w:ascii="Times New Roman" w:hAnsi="Times New Roman"/>
          <w:b w:val="0"/>
          <w:i w:val="0"/>
          <w:color w:val="000000"/>
          <w:sz w:val="24"/>
        </w:rPr>
        <w:t xml:space="preserve">6.  </w:t>
      </w:r>
      <w:r>
        <w:rPr>
          <w:rFonts w:ascii="Times New Roman" w:hAnsi="Times New Roman"/>
          <w:b w:val="0"/>
          <w:i w:val="0"/>
          <w:color w:val="000000"/>
          <w:sz w:val="24"/>
        </w:rPr>
        <w:t>¿Cómo describe el trato que recibió por parte del médico, de la enfermera y de admisión? ¿Le miraron a los ojos, le escucharon con paciencia? ¿Le hablaron en quechua cuando lo necesitó?</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5: Claridad comunicativa, entorno físico y privacidad (Existencial: Espacialidad)</w:t>
      </w:r>
    </w:p>
    <w:p>
      <w:pPr>
        <w:spacing w:line="312" w:lineRule="auto" w:before="20" w:after="60"/>
        <w:ind w:left="850" w:hanging="454"/>
        <w:jc w:val="both"/>
      </w:pPr>
      <w:r>
        <w:rPr>
          <w:rFonts w:ascii="Times New Roman" w:hAnsi="Times New Roman"/>
          <w:b w:val="0"/>
          <w:i w:val="0"/>
          <w:color w:val="000000"/>
          <w:sz w:val="24"/>
        </w:rPr>
        <w:t xml:space="preserve">7.  </w:t>
      </w:r>
      <w:r>
        <w:rPr>
          <w:rFonts w:ascii="Times New Roman" w:hAnsi="Times New Roman"/>
          <w:b w:val="0"/>
          <w:i w:val="0"/>
          <w:color w:val="000000"/>
          <w:sz w:val="24"/>
        </w:rPr>
        <w:t>¿Le explicaron con calma cómo debe tomar sus medicamentos y entendió claramente las indicaciones? ¿Se sintió cómodo en la sala y respetaron su intimidad dentro del consultorio?</w:t>
      </w:r>
    </w:p>
    <w:p>
      <w:pPr>
        <w:spacing w:line="312" w:lineRule="auto" w:before="0" w:after="80"/>
        <w:ind w:firstLine="720"/>
        <w:jc w:val="both"/>
      </w:pPr>
      <w:r>
        <w:rPr>
          <w:rFonts w:ascii="Times New Roman" w:hAnsi="Times New Roman"/>
          <w:b/>
          <w:i w:val="0"/>
          <w:color w:val="000000"/>
          <w:sz w:val="24"/>
        </w:rPr>
        <w:t xml:space="preserve">• </w:t>
      </w:r>
      <w:r>
        <w:rPr>
          <w:rFonts w:ascii="Times New Roman" w:hAnsi="Times New Roman"/>
          <w:b w:val="0"/>
          <w:i w:val="0"/>
          <w:color w:val="000000"/>
          <w:sz w:val="24"/>
        </w:rPr>
        <w:t>Dimensión 6: Significado holístico de la calidad y esencia de la experiencia (Esencia del Fenómeno)</w:t>
      </w:r>
    </w:p>
    <w:p>
      <w:pPr>
        <w:spacing w:line="312" w:lineRule="auto" w:before="20" w:after="60"/>
        <w:ind w:left="850" w:hanging="454"/>
        <w:jc w:val="both"/>
      </w:pPr>
      <w:r>
        <w:rPr>
          <w:rFonts w:ascii="Times New Roman" w:hAnsi="Times New Roman"/>
          <w:b w:val="0"/>
          <w:i w:val="0"/>
          <w:color w:val="000000"/>
          <w:sz w:val="24"/>
        </w:rPr>
        <w:t xml:space="preserve">8.  </w:t>
      </w:r>
      <w:r>
        <w:rPr>
          <w:rFonts w:ascii="Times New Roman" w:hAnsi="Times New Roman"/>
          <w:b w:val="0"/>
          <w:i w:val="0"/>
          <w:color w:val="000000"/>
          <w:sz w:val="24"/>
        </w:rPr>
        <w:t>Al reflexionar sobre toda su vivencia de hoy, ¿qué significa para usted que le brinden una atención de verdadera calidad y qué propondría para humanizar el Centro de Salud Belén?</w:t>
      </w:r>
    </w:p>
    <w:p>
      <w:pPr>
        <w:spacing w:before="200" w:after="80"/>
        <w:jc w:val="left"/>
      </w:pPr>
      <w:r>
        <w:rPr>
          <w:rFonts w:ascii="Times New Roman" w:hAnsi="Times New Roman"/>
          <w:b/>
          <w:i w:val="0"/>
          <w:color w:val="000000"/>
          <w:sz w:val="24"/>
        </w:rPr>
        <w:t>ANEXO 2: MATRIZ DE CONSISTENCIA FENOMENOLÓGICA CUALITATIVA</w:t>
      </w:r>
    </w:p>
    <w:p>
      <w:pPr>
        <w:spacing w:line="312" w:lineRule="auto" w:before="0" w:after="80"/>
        <w:jc w:val="both"/>
      </w:pPr>
      <w:r>
        <w:rPr>
          <w:rFonts w:ascii="Times New Roman" w:hAnsi="Times New Roman"/>
          <w:b/>
          <w:i w:val="0"/>
          <w:color w:val="000000"/>
          <w:sz w:val="24"/>
        </w:rPr>
        <w:t xml:space="preserve">TÍTULO: </w:t>
      </w:r>
      <w:r>
        <w:rPr>
          <w:rFonts w:ascii="Times New Roman" w:hAnsi="Times New Roman"/>
          <w:b w:val="0"/>
          <w:i w:val="0"/>
          <w:color w:val="000000"/>
          <w:sz w:val="24"/>
        </w:rPr>
        <w:t>PERCEPCIÓN DE LA CALIDAD DE ATENCIÓN Y ACCESO A LOS SERVICIOS DE SALUD EN USUARIOS DEL CENTRO DE SALUD BELÉN, AYACUCHO 2026.</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PROBLEMA FENOMENOLÓGICO</w:t>
            </w:r>
          </w:p>
        </w:tc>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OBJETIVOS</w:t>
            </w:r>
          </w:p>
        </w:tc>
        <w:tc>
          <w:tcPr>
            <w:tcW w:type="dxa" w:w="1814"/>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PREGUNTAS NORTEADORAS</w:t>
            </w:r>
          </w:p>
        </w:tc>
        <w:tc>
          <w:tcPr>
            <w:tcW w:type="dxa" w:w="1701"/>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CATEGORÍAS DE ESTUDIO</w:t>
            </w:r>
          </w:p>
        </w:tc>
        <w:tc>
          <w:tcPr>
            <w:tcW w:type="dxa" w:w="1928"/>
            <w:tcMar>
              <w:top w:w="100" w:type="dxa"/>
              <w:bottom w:w="100" w:type="dxa"/>
              <w:left w:w="110" w:type="dxa"/>
              <w:right w:w="110" w:type="dxa"/>
            </w:tcMar>
            <w:shd w:val="clear" w:color="auto" w:fill="E8EEF5"/>
          </w:tcPr>
          <w:p>
            <w:pPr>
              <w:jc w:val="center"/>
            </w:pPr>
            <w:r>
              <w:rPr>
                <w:rFonts w:ascii="Times New Roman" w:hAnsi="Times New Roman"/>
                <w:b/>
                <w:i w:val="0"/>
                <w:color w:val="000000"/>
                <w:sz w:val="19"/>
              </w:rPr>
              <w:t>METODOLOGÍA FENOMENOLÓGICA</w:t>
            </w:r>
          </w:p>
        </w:tc>
      </w:tr>
      <w:tr>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General:</w:t>
              <w:br/>
              <w:t>¿Cuál es el significado, estructura y esencia de la experiencia vivida por los usuarios respecto al fenómeno del acceso y la calidad de atención en el C.S. Belén, Ayacucho 2026?</w:t>
              <w:br/>
              <w:br/>
              <w:t>Específicos:</w:t>
              <w:br/>
              <w:t>1. Develar emociones y vivencias corporales.</w:t>
              <w:br/>
              <w:t>2. Describir la temporalidad en la madrugada y espera.</w:t>
              <w:br/>
              <w:t>3. Identificar la espacialidad y afrontamiento.</w:t>
              <w:br/>
              <w:t>4. Caracterizar la relacionalidad e interculturalidad.</w:t>
              <w:br/>
              <w:t>5. Interpretar la esencia de la calidad asistencial.</w:t>
            </w:r>
          </w:p>
        </w:tc>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General:</w:t>
              <w:br/>
              <w:t>Comprender la estructura y esencia de la experiencia vivida por los usuarios respecto al acceso y la calidad de atención en el C.S. Belén, Ayacucho 2026.</w:t>
              <w:br/>
              <w:br/>
              <w:t>Específicos:</w:t>
              <w:br/>
              <w:t>1. Develar las emociones, sentimientos y vivencias corporales.</w:t>
              <w:br/>
              <w:t>2. Describir la temporalidad vivida en la trayectoria asistencial.</w:t>
              <w:br/>
              <w:t>3. Identificar la espacialidad del centro y afrontamiento.</w:t>
              <w:br/>
              <w:t>4. Caracterizar la relacionalidad y trato en quechua/español.</w:t>
              <w:br/>
              <w:t>5. Interpretar la esencia compartida y categorías divergentes.</w:t>
            </w:r>
          </w:p>
        </w:tc>
        <w:tc>
          <w:tcPr>
            <w:tcW w:type="dxa" w:w="1814"/>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1. Corporalidad y emociones en la atención.</w:t>
              <w:br/>
              <w:br/>
              <w:t>2. Temporalidad en la madrugada y espera.</w:t>
              <w:br/>
              <w:br/>
              <w:t>3. Espacialidad y mecanismos de afrontamiento.</w:t>
              <w:br/>
              <w:br/>
              <w:t>4. Relacionalidad y trato intercultural quechua.</w:t>
              <w:br/>
              <w:br/>
              <w:t>5. Esencia compartida de calidad asistencial.</w:t>
            </w:r>
          </w:p>
        </w:tc>
        <w:tc>
          <w:tcPr>
            <w:tcW w:type="dxa" w:w="1701"/>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Categoría 1: Acceso a Servicios de Salud</w:t>
              <w:br/>
              <w:t>• Disponibilidad de cupos</w:t>
              <w:br/>
              <w:t>• Acomodación (Temporalidad)</w:t>
              <w:br/>
              <w:t>• Asequibilidad y gasto SIS</w:t>
              <w:br/>
              <w:t>• Aceptabilidad quechua (Relacionalidad)</w:t>
              <w:br/>
              <w:br/>
              <w:t>Categoría 2: Calidad Percibida</w:t>
              <w:br/>
              <w:t>• Trato empático (Relacionalidad)</w:t>
              <w:br/>
              <w:t>• Claridad pedagógica</w:t>
              <w:br/>
              <w:t>• Confort y privacidad (Espacialidad)</w:t>
              <w:br/>
              <w:t>• Esencia y confianza institucional</w:t>
            </w:r>
          </w:p>
        </w:tc>
        <w:tc>
          <w:tcPr>
            <w:tcW w:type="dxa" w:w="1928"/>
            <w:tcMar>
              <w:top w:w="100" w:type="dxa"/>
              <w:bottom w:w="100" w:type="dxa"/>
              <w:left w:w="110" w:type="dxa"/>
              <w:right w:w="110" w:type="dxa"/>
            </w:tcMar>
          </w:tcPr>
          <w:p>
            <w:pPr>
              <w:spacing w:line="276" w:lineRule="auto" w:before="0" w:after="40"/>
              <w:jc w:val="left"/>
            </w:pPr>
            <w:r>
              <w:rPr>
                <w:rFonts w:ascii="Times New Roman" w:hAnsi="Times New Roman"/>
                <w:b w:val="0"/>
                <w:i w:val="0"/>
                <w:color w:val="000000"/>
                <w:sz w:val="18"/>
              </w:rPr>
              <w:t>Enfoque y Diseño:</w:t>
              <w:br/>
              <w:t>Cualitativo con diseño fenomenológico empírico y hermenéutico (Husserl, van Manen, Creswell, Sampieri).</w:t>
              <w:br/>
              <w:br/>
              <w:t>Existenciales:</w:t>
              <w:br/>
              <w:t>Temporalidad, espacialidad, corporalidad y relacionalidad.</w:t>
              <w:br/>
              <w:br/>
              <w:t>Población/Muestra:</w:t>
              <w:br/>
              <w:t>Usuarios de consulta externa del C.S. Belén. Muestreo intencional regulado por saturación teórica (12-18 participantes).</w:t>
              <w:br/>
              <w:br/>
              <w:t>Técnicas:</w:t>
              <w:br/>
              <w:t>Entrevista fenomenológica en profundidad y observación reflexiva.</w:t>
              <w:br/>
              <w:br/>
              <w:t>Instrumentos:</w:t>
              <w:br/>
              <w:t>Guía semiestructurada bilingüe y diario de campo reflexivo.</w:t>
            </w:r>
          </w:p>
        </w:tc>
      </w:tr>
    </w:tbl>
    <w:p>
      <w:pPr>
        <w:spacing w:before="200" w:after="80"/>
        <w:jc w:val="left"/>
      </w:pPr>
      <w:r>
        <w:rPr>
          <w:rFonts w:ascii="Times New Roman" w:hAnsi="Times New Roman"/>
          <w:b/>
          <w:i w:val="0"/>
          <w:color w:val="000000"/>
          <w:sz w:val="24"/>
        </w:rPr>
        <w:t>ANEXO 3: FORMATO DE JUICIO DE EXPERTOS</w:t>
      </w:r>
    </w:p>
    <w:p>
      <w:pPr>
        <w:spacing w:before="160" w:after="60"/>
        <w:jc w:val="left"/>
      </w:pPr>
      <w:r>
        <w:rPr>
          <w:rFonts w:ascii="Times New Roman" w:hAnsi="Times New Roman"/>
          <w:b/>
          <w:i/>
          <w:color w:val="000000"/>
          <w:sz w:val="24"/>
        </w:rPr>
        <w:t>I. ASPECTOS GENERALES</w:t>
      </w:r>
    </w:p>
    <w:p>
      <w:pPr>
        <w:spacing w:line="312" w:lineRule="auto" w:before="0" w:after="80"/>
        <w:jc w:val="both"/>
      </w:pPr>
      <w:r>
        <w:rPr>
          <w:rFonts w:ascii="Times New Roman" w:hAnsi="Times New Roman"/>
          <w:b/>
          <w:i w:val="0"/>
          <w:color w:val="000000"/>
          <w:sz w:val="24"/>
        </w:rPr>
        <w:t xml:space="preserve">1.1. Apellidos y nombres del informante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1.2. Grado académico del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1.3. Profesión del experto: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1.4. Institución donde labora: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1.5. Cargo que desempeña: </w:t>
      </w:r>
      <w:r>
        <w:rPr>
          <w:rFonts w:ascii="Times New Roman" w:hAnsi="Times New Roman"/>
          <w:b w:val="0"/>
          <w:i w:val="0"/>
          <w:color w:val="000000"/>
          <w:sz w:val="24"/>
        </w:rPr>
        <w:t>__________________________________________________________________</w:t>
      </w:r>
    </w:p>
    <w:p>
      <w:pPr>
        <w:spacing w:line="312" w:lineRule="auto" w:before="0" w:after="80"/>
        <w:jc w:val="both"/>
      </w:pPr>
      <w:r>
        <w:rPr>
          <w:rFonts w:ascii="Times New Roman" w:hAnsi="Times New Roman"/>
          <w:b/>
          <w:i w:val="0"/>
          <w:color w:val="000000"/>
          <w:sz w:val="24"/>
        </w:rPr>
        <w:t xml:space="preserve">1.6. Denominación del instrumento: </w:t>
      </w:r>
      <w:r>
        <w:rPr>
          <w:rFonts w:ascii="Times New Roman" w:hAnsi="Times New Roman"/>
          <w:b w:val="0"/>
          <w:i w:val="0"/>
          <w:color w:val="000000"/>
          <w:sz w:val="24"/>
        </w:rPr>
        <w:t>Guía de entrevista a profundidad semiestructurada.</w:t>
      </w:r>
    </w:p>
    <w:p>
      <w:pPr>
        <w:spacing w:line="312" w:lineRule="auto" w:before="0" w:after="80"/>
        <w:jc w:val="both"/>
      </w:pPr>
      <w:r>
        <w:rPr>
          <w:rFonts w:ascii="Times New Roman" w:hAnsi="Times New Roman"/>
          <w:b/>
          <w:i w:val="0"/>
          <w:color w:val="000000"/>
          <w:sz w:val="24"/>
        </w:rPr>
        <w:t xml:space="preserve">1.7. Autor del instrumento: </w:t>
      </w:r>
      <w:r>
        <w:rPr>
          <w:rFonts w:ascii="Times New Roman" w:hAnsi="Times New Roman"/>
          <w:b w:val="0"/>
          <w:i w:val="0"/>
          <w:color w:val="000000"/>
          <w:sz w:val="24"/>
        </w:rPr>
        <w:t>Gresly Lucero Pariona Palomino.</w:t>
      </w:r>
    </w:p>
    <w:p>
      <w:pPr>
        <w:spacing w:line="312" w:lineRule="auto" w:before="0" w:after="80"/>
        <w:jc w:val="both"/>
      </w:pPr>
      <w:r>
        <w:rPr>
          <w:rFonts w:ascii="Times New Roman" w:hAnsi="Times New Roman"/>
          <w:b/>
          <w:i w:val="0"/>
          <w:color w:val="000000"/>
          <w:sz w:val="24"/>
        </w:rPr>
        <w:t xml:space="preserve">1.8. Título de la tesis: </w:t>
      </w:r>
      <w:r>
        <w:rPr>
          <w:rFonts w:ascii="Times New Roman" w:hAnsi="Times New Roman"/>
          <w:b w:val="0"/>
          <w:i w:val="0"/>
          <w:color w:val="000000"/>
          <w:sz w:val="24"/>
        </w:rPr>
        <w:t>Percepción de la calidad de atención en usuarios del Centro de Salud Belén, Ayacucho 2026.</w:t>
      </w:r>
    </w:p>
    <w:p>
      <w:pPr>
        <w:spacing w:before="160" w:after="60"/>
        <w:jc w:val="left"/>
      </w:pPr>
      <w:r>
        <w:rPr>
          <w:rFonts w:ascii="Times New Roman" w:hAnsi="Times New Roman"/>
          <w:b/>
          <w:i/>
          <w:color w:val="000000"/>
          <w:sz w:val="24"/>
        </w:rPr>
        <w:t>II. CRITERIOS DE VALIDACIÓN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701"/>
        <w:gridCol w:w="1701"/>
        <w:gridCol w:w="1701"/>
        <w:gridCol w:w="1701"/>
        <w:gridCol w:w="1701"/>
      </w:tblGrid>
      <w:tr>
        <w:tc>
          <w:tcPr>
            <w:tcW w:type="dxa" w:w="1814"/>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CRITERIOS</w:t>
            </w:r>
          </w:p>
        </w:tc>
        <w:tc>
          <w:tcPr>
            <w:tcW w:type="dxa" w:w="3685"/>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INDICADORES DE EVALUACIÓN</w:t>
            </w:r>
          </w:p>
        </w:tc>
        <w:tc>
          <w:tcPr>
            <w:tcW w:type="dxa" w:w="680"/>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SÍ</w:t>
            </w:r>
          </w:p>
        </w:tc>
        <w:tc>
          <w:tcPr>
            <w:tcW w:type="dxa" w:w="680"/>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NO</w:t>
            </w:r>
          </w:p>
        </w:tc>
        <w:tc>
          <w:tcPr>
            <w:tcW w:type="dxa" w:w="1984"/>
            <w:tcMar>
              <w:top w:w="100" w:type="dxa"/>
              <w:bottom w:w="100" w:type="dxa"/>
              <w:left w:w="110" w:type="dxa"/>
              <w:right w:w="110" w:type="dxa"/>
            </w:tcMar>
            <w:shd w:val="clear" w:color="auto" w:fill="F0F0F0"/>
          </w:tcPr>
          <w:p>
            <w:pPr>
              <w:jc w:val="center"/>
            </w:pPr>
            <w:r>
              <w:rPr>
                <w:rFonts w:ascii="Times New Roman" w:hAnsi="Times New Roman"/>
                <w:b/>
                <w:i w:val="0"/>
                <w:color w:val="000000"/>
                <w:sz w:val="19"/>
              </w:rPr>
              <w:t>OBSERVACIONES</w:t>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1. CLARIDAD DIALÓGICA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Preguntas formuladas con lenguaje coloquial, abierto y comprensible para el usuario andino.</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2. PERTINENCIA LINGÜÍSTICA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Preguntas en quechua chanka gramaticalmente naturales, afectuosas y culturalmente pertinentes.</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3. CONSISTENCIA FENOMENOLÓGICA</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Articulación rigurosa con los cuatro existenciales del mundo de la vida (van Manen y Sampieri).</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4. COHERENCIA VIVENCIAL</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Correspondencia simétrica entre las preguntas y la captura de la esencia y las divergencias vivenciales.</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5. RELEVANCIA DEL CUIDADO</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Explora estrictamente la interacción humana, los sentires corporales y la dignidad del cuidado.</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r>
        <w:tc>
          <w:tcPr>
            <w:tcW w:type="dxa" w:w="1814"/>
            <w:tcMar>
              <w:top w:w="80" w:type="dxa"/>
              <w:bottom w:w="80" w:type="dxa"/>
              <w:left w:w="110" w:type="dxa"/>
              <w:right w:w="110" w:type="dxa"/>
            </w:tcMar>
          </w:tcPr>
          <w:p>
            <w:pPr>
              <w:jc w:val="left"/>
            </w:pPr>
            <w:r>
              <w:rPr>
                <w:rFonts w:ascii="Times New Roman" w:hAnsi="Times New Roman"/>
                <w:b/>
                <w:i w:val="0"/>
                <w:color w:val="000000"/>
                <w:sz w:val="19"/>
              </w:rPr>
              <w:t>6. CAPACIDAD DE SATURACIÓN</w:t>
            </w:r>
          </w:p>
        </w:tc>
        <w:tc>
          <w:tcPr>
            <w:tcW w:type="dxa" w:w="3685"/>
            <w:tcMar>
              <w:top w:w="80" w:type="dxa"/>
              <w:bottom w:w="80" w:type="dxa"/>
              <w:left w:w="110" w:type="dxa"/>
              <w:right w:w="110" w:type="dxa"/>
            </w:tcMar>
          </w:tcPr>
          <w:p>
            <w:pPr>
              <w:jc w:val="left"/>
            </w:pPr>
            <w:r>
              <w:rPr>
                <w:rFonts w:ascii="Times New Roman" w:hAnsi="Times New Roman"/>
                <w:b w:val="0"/>
                <w:i w:val="0"/>
                <w:color w:val="000000"/>
                <w:sz w:val="19"/>
              </w:rPr>
              <w:t>Capacidad inductora de las preguntas para suscitar relatos densos y alcanzar la saturación teórica.</w:t>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680"/>
            <w:tcMar>
              <w:top w:w="80" w:type="dxa"/>
              <w:bottom w:w="80" w:type="dxa"/>
              <w:left w:w="110" w:type="dxa"/>
              <w:right w:w="110" w:type="dxa"/>
            </w:tcMar>
          </w:tcPr>
          <w:p>
            <w:pPr>
              <w:jc w:val="center"/>
            </w:pPr>
            <w:r>
              <w:rPr>
                <w:rFonts w:ascii="Times New Roman" w:hAnsi="Times New Roman"/>
                <w:b w:val="0"/>
                <w:i w:val="0"/>
                <w:color w:val="000000"/>
                <w:sz w:val="19"/>
              </w:rPr>
            </w:r>
          </w:p>
        </w:tc>
        <w:tc>
          <w:tcPr>
            <w:tcW w:type="dxa" w:w="1984"/>
            <w:tcMar>
              <w:top w:w="80" w:type="dxa"/>
              <w:bottom w:w="80" w:type="dxa"/>
              <w:left w:w="110" w:type="dxa"/>
              <w:right w:w="110" w:type="dxa"/>
            </w:tcMar>
          </w:tcPr>
          <w:p>
            <w:pPr>
              <w:jc w:val="left"/>
            </w:pPr>
            <w:r>
              <w:rPr>
                <w:rFonts w:ascii="Times New Roman" w:hAnsi="Times New Roman"/>
                <w:b w:val="0"/>
                <w:i w:val="0"/>
                <w:color w:val="000000"/>
                <w:sz w:val="19"/>
              </w:rPr>
            </w:r>
          </w:p>
        </w:tc>
      </w:tr>
    </w:tbl>
    <w:p>
      <w:pPr>
        <w:spacing w:line="312" w:lineRule="auto" w:before="0" w:after="80"/>
        <w:jc w:val="both"/>
      </w:pPr>
      <w:r>
        <w:rPr>
          <w:rFonts w:ascii="Times New Roman" w:hAnsi="Times New Roman"/>
          <w:b/>
          <w:i w:val="0"/>
          <w:color w:val="000000"/>
          <w:sz w:val="24"/>
        </w:rPr>
        <w:t xml:space="preserve">Observaciones generales: </w:t>
      </w:r>
      <w:r>
        <w:rPr>
          <w:rFonts w:ascii="Times New Roman" w:hAnsi="Times New Roman"/>
          <w:b w:val="0"/>
          <w:i w:val="0"/>
          <w:color w:val="000000"/>
          <w:sz w:val="24"/>
        </w:rPr>
        <w:t>____________________________________________________________________________________________</w:t>
      </w:r>
    </w:p>
    <w:p>
      <w:pPr>
        <w:spacing w:line="312" w:lineRule="auto" w:before="0" w:after="80"/>
        <w:jc w:val="both"/>
      </w:pPr>
      <w:r>
        <w:rPr>
          <w:rFonts w:ascii="Times New Roman" w:hAnsi="Times New Roman"/>
          <w:b w:val="0"/>
          <w:i w:val="0"/>
          <w:color w:val="000000"/>
          <w:sz w:val="24"/>
        </w:rPr>
        <w:t>Ayacucho, _____ de ______________________ del 2026.</w:t>
      </w:r>
    </w:p>
    <w:p>
      <w:pPr>
        <w:spacing w:before="600" w:after="40"/>
        <w:jc w:val="center"/>
      </w:pPr>
      <w:r>
        <w:rPr>
          <w:rFonts w:ascii="Times New Roman" w:hAnsi="Times New Roman"/>
          <w:b w:val="0"/>
          <w:i w:val="0"/>
          <w:color w:val="000000"/>
          <w:sz w:val="22"/>
        </w:rPr>
        <w:t>____________________________________________________</w:t>
      </w:r>
    </w:p>
    <w:p>
      <w:pPr>
        <w:spacing w:before="0" w:after="320"/>
        <w:jc w:val="center"/>
      </w:pPr>
      <w:r>
        <w:rPr>
          <w:rFonts w:ascii="Times New Roman" w:hAnsi="Times New Roman"/>
          <w:b/>
          <w:i w:val="0"/>
          <w:color w:val="000000"/>
          <w:sz w:val="22"/>
        </w:rPr>
        <w:t>FIRMA Y SELLO DEL EXPERTO</w:t>
      </w:r>
    </w:p>
    <w:p>
      <w:pPr>
        <w:spacing w:before="200" w:after="80"/>
        <w:jc w:val="left"/>
      </w:pPr>
      <w:r>
        <w:rPr>
          <w:rFonts w:ascii="Times New Roman" w:hAnsi="Times New Roman"/>
          <w:b/>
          <w:i w:val="0"/>
          <w:color w:val="000000"/>
          <w:sz w:val="24"/>
        </w:rPr>
        <w:t>ANEXO 4: MODELO DE CONSENTIMIENTO INFORMADO</w:t>
      </w:r>
    </w:p>
    <w:p>
      <w:pPr>
        <w:spacing w:line="312" w:lineRule="auto" w:before="0" w:after="80"/>
        <w:jc w:val="both"/>
      </w:pPr>
      <w:r>
        <w:rPr>
          <w:rFonts w:ascii="Times New Roman" w:hAnsi="Times New Roman"/>
          <w:b w:val="0"/>
          <w:i w:val="0"/>
          <w:color w:val="000000"/>
          <w:sz w:val="24"/>
        </w:rPr>
        <w:t>Yo, __________________________________________________________________, identificado con DNI N° _____________________, domiciliado en ________________________________________________________, Distrito de Ayacucho, Región Ayacucho.</w:t>
      </w:r>
    </w:p>
    <w:p>
      <w:pPr>
        <w:spacing w:line="312" w:lineRule="auto" w:before="0" w:after="80"/>
        <w:jc w:val="both"/>
      </w:pPr>
      <w:r>
        <w:rPr>
          <w:rFonts w:ascii="Times New Roman" w:hAnsi="Times New Roman"/>
          <w:b w:val="0"/>
          <w:i w:val="0"/>
          <w:color w:val="000000"/>
          <w:sz w:val="24"/>
        </w:rPr>
        <w:t>He tomado conocimiento del estudio de investigación titulado: “PERCEPCIÓN DE LA CALIDAD DE ATENCIÓN EN USUARIOS DEL CENTRO DE SALUD BELÉN, AYACUCHO 2026”.</w:t>
      </w:r>
    </w:p>
    <w:p>
      <w:pPr>
        <w:spacing w:line="312" w:lineRule="auto" w:before="0" w:after="80"/>
        <w:jc w:val="both"/>
      </w:pPr>
      <w:r>
        <w:rPr>
          <w:rFonts w:ascii="Times New Roman" w:hAnsi="Times New Roman"/>
          <w:b w:val="0"/>
          <w:i w:val="0"/>
          <w:color w:val="000000"/>
          <w:sz w:val="24"/>
        </w:rPr>
        <w:t>Declaro participar en calidad de Informante clave y me comprometo a brindar información fidedigna. Se me ha informado que la entrevista será grabada únicamente en audio, que mi participación es totalmente voluntaria, anónima y confidencial, y que puedo retirarme del estudio en el momento que considere conveniente sin que esto afecte mi atención en el centro de salud.</w:t>
      </w:r>
    </w:p>
    <w:p>
      <w:pPr>
        <w:spacing w:line="312" w:lineRule="auto" w:before="0" w:after="80"/>
        <w:jc w:val="both"/>
      </w:pPr>
      <w:r>
        <w:rPr>
          <w:rFonts w:ascii="Times New Roman" w:hAnsi="Times New Roman"/>
          <w:b w:val="0"/>
          <w:i w:val="0"/>
          <w:color w:val="000000"/>
          <w:sz w:val="24"/>
        </w:rPr>
        <w:t>Para dar conformidad a este acto, firmo e imprimo mi huella digital al pie del documento.</w:t>
      </w:r>
    </w:p>
    <w:p>
      <w:pPr>
        <w:spacing w:line="312" w:lineRule="auto" w:before="0" w:after="80"/>
        <w:jc w:val="both"/>
      </w:pPr>
      <w:r>
        <w:rPr>
          <w:rFonts w:ascii="Times New Roman" w:hAnsi="Times New Roman"/>
          <w:b w:val="0"/>
          <w:i w:val="0"/>
          <w:color w:val="000000"/>
          <w:sz w:val="24"/>
        </w:rPr>
        <w:t>Lugar y fecha: Ayacucho, _____ de __________________________ de 2026.</w:t>
      </w:r>
    </w:p>
    <w:p>
      <w:pPr>
        <w:spacing w:before="700" w:after="40"/>
        <w:jc w:val="center"/>
      </w:pPr>
      <w:r>
        <w:rPr>
          <w:rFonts w:ascii="Times New Roman" w:hAnsi="Times New Roman"/>
          <w:b w:val="0"/>
          <w:i w:val="0"/>
          <w:color w:val="000000"/>
          <w:sz w:val="22"/>
        </w:rPr>
        <w:t>____________________________________________________                 [                           ]</w:t>
      </w:r>
    </w:p>
    <w:p>
      <w:pPr>
        <w:spacing w:before="0" w:after="320"/>
        <w:jc w:val="center"/>
      </w:pPr>
      <w:r>
        <w:rPr>
          <w:rFonts w:ascii="Times New Roman" w:hAnsi="Times New Roman"/>
          <w:b/>
          <w:i w:val="0"/>
          <w:color w:val="000000"/>
          <w:sz w:val="21"/>
        </w:rPr>
        <w:t>FIRMA DEL PARTICIPANTE                                         HUELLA DIGITAL</w:t>
      </w:r>
    </w:p>
    <w:p>
      <w:pPr>
        <w:spacing w:before="200" w:after="80"/>
        <w:jc w:val="left"/>
      </w:pPr>
      <w:r>
        <w:rPr>
          <w:rFonts w:ascii="Times New Roman" w:hAnsi="Times New Roman"/>
          <w:b/>
          <w:i w:val="0"/>
          <w:color w:val="000000"/>
          <w:sz w:val="24"/>
        </w:rPr>
        <w:t>ANEXO 5: MODELO DE CARTA DE ASESORÍA</w:t>
      </w:r>
    </w:p>
    <w:p>
      <w:pPr>
        <w:spacing w:line="312" w:lineRule="auto" w:before="0" w:after="80"/>
        <w:jc w:val="both"/>
      </w:pPr>
      <w:r>
        <w:rPr>
          <w:rFonts w:ascii="Times New Roman" w:hAnsi="Times New Roman"/>
          <w:b w:val="0"/>
          <w:i w:val="0"/>
          <w:color w:val="000000"/>
          <w:sz w:val="24"/>
        </w:rPr>
        <w:t>Ayacucho, _____ de enero del 2026.</w:t>
      </w:r>
    </w:p>
    <w:p>
      <w:pPr>
        <w:spacing w:line="312" w:lineRule="auto" w:before="0" w:after="80"/>
        <w:jc w:val="both"/>
      </w:pPr>
      <w:r>
        <w:rPr>
          <w:rFonts w:ascii="Times New Roman" w:hAnsi="Times New Roman"/>
          <w:b w:val="0"/>
          <w:i w:val="0"/>
          <w:color w:val="000000"/>
          <w:sz w:val="24"/>
        </w:rPr>
        <w:t>Dr. Alejandro Yarlequé Mujica</w:t>
        <w:br/>
        <w:t>Decano de la Facultad de Ciencias de la Salud</w:t>
        <w:br/>
        <w:t>Universidad Nacional de San Cristóbal de Huamanga</w:t>
      </w:r>
    </w:p>
    <w:p>
      <w:pPr>
        <w:spacing w:line="312" w:lineRule="auto" w:before="0" w:after="80"/>
        <w:jc w:val="both"/>
      </w:pPr>
      <w:r>
        <w:rPr>
          <w:rFonts w:ascii="Times New Roman" w:hAnsi="Times New Roman"/>
          <w:b/>
          <w:i w:val="0"/>
          <w:color w:val="000000"/>
          <w:sz w:val="24"/>
        </w:rPr>
        <w:t xml:space="preserve">ASUNTO: </w:t>
      </w:r>
      <w:r>
        <w:rPr>
          <w:rFonts w:ascii="Times New Roman" w:hAnsi="Times New Roman"/>
          <w:b w:val="0"/>
          <w:i w:val="0"/>
          <w:color w:val="000000"/>
          <w:sz w:val="24"/>
        </w:rPr>
        <w:t>Asunto: Carta de Aceptación y Asesoría Formal de Proyecto de Tesis</w:t>
      </w:r>
    </w:p>
    <w:p>
      <w:pPr>
        <w:spacing w:line="312" w:lineRule="auto" w:before="0" w:after="80"/>
        <w:jc w:val="both"/>
      </w:pPr>
      <w:r>
        <w:rPr>
          <w:rFonts w:ascii="Times New Roman" w:hAnsi="Times New Roman"/>
          <w:b w:val="0"/>
          <w:i w:val="0"/>
          <w:color w:val="000000"/>
          <w:sz w:val="24"/>
        </w:rPr>
        <w:t>Sirva la presente para saludarlo cordialmente y a la vez comunicarle la asesoría formal del Proyecto de Tesis cualitativo titulado: “PERCEPCIÓN DE LA CALIDAD DE ATENCIÓN EN USUARIOS DEL CENTRO DE SALUD BELÉN, AYACUCHO 2026”, perteneciente a la estudiante Gresly Lucero Pariona Palomino, egresada de la Escuela Profesional de Enfermería.</w:t>
      </w:r>
    </w:p>
    <w:p>
      <w:pPr>
        <w:spacing w:line="312" w:lineRule="auto" w:before="0" w:after="80"/>
        <w:jc w:val="both"/>
      </w:pPr>
      <w:r>
        <w:rPr>
          <w:rFonts w:ascii="Times New Roman" w:hAnsi="Times New Roman"/>
          <w:b w:val="0"/>
          <w:i w:val="0"/>
          <w:color w:val="000000"/>
          <w:sz w:val="24"/>
        </w:rPr>
        <w:t>En tal sentido, dicha asesoría comprenderá todas las etapas del proyecto y ejecución del trabajo de investigación, permitiendo la obtención del Título Profesional de Licenciada en Enfermería.</w:t>
      </w:r>
    </w:p>
    <w:p>
      <w:pPr>
        <w:spacing w:line="312" w:lineRule="auto" w:before="0" w:after="80"/>
        <w:jc w:val="both"/>
      </w:pPr>
      <w:r>
        <w:rPr>
          <w:rFonts w:ascii="Times New Roman" w:hAnsi="Times New Roman"/>
          <w:b w:val="0"/>
          <w:i w:val="0"/>
          <w:color w:val="000000"/>
          <w:sz w:val="24"/>
        </w:rPr>
        <w:t>Atentamente,</w:t>
      </w:r>
    </w:p>
    <w:p>
      <w:pPr>
        <w:spacing w:before="700" w:after="40"/>
        <w:jc w:val="center"/>
      </w:pPr>
      <w:r>
        <w:rPr>
          <w:rFonts w:ascii="Times New Roman" w:hAnsi="Times New Roman"/>
          <w:b w:val="0"/>
          <w:i w:val="0"/>
          <w:color w:val="000000"/>
          <w:sz w:val="22"/>
        </w:rPr>
        <w:t>____________________________________________________</w:t>
      </w:r>
    </w:p>
    <w:p>
      <w:pPr>
        <w:spacing w:before="0" w:after="40"/>
        <w:jc w:val="center"/>
      </w:pPr>
      <w:r>
        <w:rPr>
          <w:rFonts w:ascii="Times New Roman" w:hAnsi="Times New Roman"/>
          <w:b/>
          <w:i w:val="0"/>
          <w:color w:val="000000"/>
          <w:sz w:val="24"/>
        </w:rPr>
        <w:t>Dr. Manglio Aguirre Andrade</w:t>
      </w:r>
    </w:p>
    <w:p>
      <w:pPr>
        <w:spacing w:before="0" w:after="0"/>
        <w:jc w:val="center"/>
      </w:pPr>
      <w:r>
        <w:rPr>
          <w:rFonts w:ascii="Times New Roman" w:hAnsi="Times New Roman"/>
          <w:b w:val="0"/>
          <w:i w:val="0"/>
          <w:color w:val="000000"/>
          <w:sz w:val="20"/>
        </w:rPr>
        <w:t>Docente de la Facultad de Ciencias de la Salud - UNSCH</w:t>
        <w:br/>
        <w:t>ORCID: 0000-0001-8234-567X | DNI N°: ___________________</w:t>
      </w:r>
    </w:p>
    <w:sectPr w:rsidR="00FC693F" w:rsidRPr="0006063C" w:rsidSect="00034616">
      <w:headerReference w:type="default" r:id="rId23"/>
      <w:footerReference w:type="default" r:id="rId24"/>
      <w:pgSz w:w="11906" w:h="16838"/>
      <w:pgMar w:top="1701" w:right="1417" w:bottom="1417" w:left="1984"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Índice</w:t>
    </w:r>
    <w:r>
      <w:rPr>
        <w:rFonts w:ascii="Times New Roman" w:hAnsi="Times New Roman"/>
        <w:sz w:val="18"/>
      </w:rPr>
      <w:tab/>
      <w:tab/>
    </w:r>
    <w:fldSimple w:instr="PAGE">
      <w:r>
        <w:rPr>
          <w:rFonts w:ascii="Times New Roman" w:hAnsi="Times New Roman"/>
          <w:sz w:val="18"/>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INTRODUCCIÓN</w:t>
    </w:r>
    <w:r>
      <w:rPr>
        <w:rFonts w:ascii="Times New Roman" w:hAnsi="Times New Roman"/>
        <w:sz w:val="18"/>
      </w:rPr>
      <w:tab/>
      <w:tab/>
    </w:r>
    <w:fldSimple w:instr="PAGE">
      <w:r>
        <w:rPr>
          <w:rFonts w:ascii="Times New Roman" w:hAnsi="Times New Roman"/>
          <w:sz w:val="18"/>
        </w:rPr>
        <w:t>1</w:t>
      </w:r>
    </w:fldSimple>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 EL PROBLEMA DE INVESTIGACIÓN</w:t>
    </w:r>
    <w:r>
      <w:rPr>
        <w:rFonts w:ascii="Times New Roman" w:hAnsi="Times New Roman"/>
        <w:sz w:val="18"/>
      </w:rPr>
      <w:tab/>
      <w:tab/>
    </w:r>
    <w:fldSimple w:instr="PAGE">
      <w:r>
        <w:rPr>
          <w:rFonts w:ascii="Times New Roman" w:hAnsi="Times New Roman"/>
          <w:sz w:val="18"/>
        </w:rPr>
        <w:t>1</w:t>
      </w:r>
    </w:fldSimple>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CAPÍTULO II: MARCO CONTEXTUAL</w:t>
    </w:r>
    <w:r>
      <w:rPr>
        <w:rFonts w:ascii="Times New Roman" w:hAnsi="Times New Roman"/>
        <w:sz w:val="18"/>
      </w:rPr>
      <w:tab/>
      <w:tab/>
    </w:r>
    <w:fldSimple w:instr="PAGE">
      <w:r>
        <w:rPr>
          <w:rFonts w:ascii="Times New Roman" w:hAnsi="Times New Roman"/>
          <w:sz w:val="18"/>
        </w:rPr>
        <w:t>1</w:t>
      </w:r>
    </w:fldSimple>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REFERENCIAS BIBLIOGRÁFICAS</w:t>
    </w:r>
    <w:r>
      <w:rPr>
        <w:rFonts w:ascii="Times New Roman" w:hAnsi="Times New Roman"/>
        <w:sz w:val="18"/>
      </w:rPr>
      <w:tab/>
      <w:tab/>
    </w:r>
    <w:fldSimple w:instr="PAGE">
      <w:r>
        <w:rPr>
          <w:rFonts w:ascii="Times New Roman" w:hAnsi="Times New Roman"/>
          <w:sz w:val="18"/>
        </w:rPr>
        <w:t>1</w:t>
      </w:r>
    </w:fldSimple>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ANEXOS</w:t>
    </w:r>
    <w:r>
      <w:rPr>
        <w:rFonts w:ascii="Times New Roman" w:hAnsi="Times New Roman"/>
        <w:sz w:val="18"/>
      </w:rPr>
      <w:tab/>
      <w:tab/>
    </w:r>
    <w:fldSimple w:instr="PAGE">
      <w:r>
        <w:rPr>
          <w:rFonts w:ascii="Times New Roman" w:hAnsi="Times New Roman"/>
          <w:sz w:val="18"/>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