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widowControl/>
        <w:spacing w:lineRule="auto" w:line="240"/>
        <w:rPr>
          <w:rFonts w:cs="Calibri" w:cstheme="minorHAnsi"/>
          <w:bCs/>
          <w:color w:val="000000" w:themeColor="text1"/>
          <w:sz w:val="24"/>
          <w:szCs w:val="24"/>
          <w:lang w:val="pt-BR"/>
        </w:rPr>
      </w:pPr>
      <w:r>
        <w:rPr>
          <w:rFonts w:cs="Calibri" w:cstheme="minorHAnsi"/>
          <w:bCs/>
          <w:color w:val="000000" w:themeColor="text1"/>
          <w:sz w:val="24"/>
          <w:szCs w:val="24"/>
          <w:lang w:val="pt-BR"/>
        </w:rPr>
      </w:r>
      <w:r>
        <w:br w:type="page"/>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xml:space="preserve">.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pPr>
      <w:r>
        <w:rPr>
          <w:rFonts w:cs="Calibri" w:cstheme="minorHAnsi"/>
          <w:bCs/>
          <w:color w:val="000000" w:themeColor="text1"/>
          <w:sz w:val="24"/>
          <w:szCs w:val="24"/>
          <w:lang w:val="pt-BR"/>
        </w:rPr>
        <w:t>O Financeiro, tem a possibilidade de pagar as contas informadas pelo gerente, tais como contas de luz, água e outras possíveis despesas. Pode-se também realizar o pagamento das cotações dos fornecedores selecionadas pelo gerente.</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LibreOffice/6.0.7.3$Linux_X86_64 LibreOffice_project/00m0$Build-3</Application>
  <Pages>2</Pages>
  <Words>772</Words>
  <Characters>4094</Characters>
  <CharactersWithSpaces>4860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2020-05-23T19:28:38Z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