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Results of monthly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-1.4768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0.2795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-2.1675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0.4832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0.2309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0.0799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Monthly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weekly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-4.7793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-2.9595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-0.0512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0.0739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2.8124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0.1052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0.0616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2.7774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0.1096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-6.9050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Weekly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0.1968</w:t>
            </w:r>
          </w:p>
        </w:tc>
      </w:tr>
    </w:tbl>
    <w:p>
      <w:pPr/>
      <w:r>
        <w:br w:type="page"/>
      </w:r>
    </w:p>
    <w:p>
      <w:pPr>
        <w:pStyle w:val="Titre2"/>
      </w:pPr>
      <w:r>
        <w:t xml:space="preserve">Results of daily telework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Frequency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Estimate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Std.Error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z-value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lower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95% CI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upper bound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FCFC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p-value adjusted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-1.0331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0.3016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-2.8214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0.1052</w:t>
            </w:r>
          </w:p>
        </w:tc>
      </w:tr>
      <w:tr>
        <w:trPr>
          <w:trHeight w:val="360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Workload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-1.2848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IE 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0.0374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0.7615</w:t>
            </w:r>
          </w:p>
        </w:tc>
      </w:tr>
      <w:tr>
        <w:trPr>
          <w:trHeight w:val="360" w:hRule="auto"/>
        </w:trPr>
        body8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-0.7728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  <w:tr>
        <w:trPr>
          <w:trHeight w:val="360" w:hRule="auto"/>
        </w:trPr>
        body9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Daily telework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Joint Indirect Effect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-0.4379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EFEFE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1.0000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2025-12-04T13:54:25Z</dcterms:modified>
  <cp:category/>
</cp:coreProperties>
</file>