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DICCIONARIO DATOS</w:t>
      </w:r>
    </w:p>
    <w:tbl>
      <w:tblPr>
        <w:tblStyle w:val="Table1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2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División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8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Almacena las distintas clínicas, sucursales o divisiones médicas del sistema bajo el modelo SaaS Multitenant, permitiendo aislar los datos de cada cliente.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Clave primaria autoincremental de la división.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Nombre comercial o institucional de la clínica/sucursal.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Código único de identificación para la división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Estado de la división en el SaaS 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Fecha y hora automática de creación del registro.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la última actualización del registro.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deletedAt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Fecha de eliminación lógica. Si es NULL, está activo.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94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User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9A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Registra a los usuarios del sistema (Súper Administradores, Administradores de División, Ejecutivos, etc.) vinculándolos a su respectiva sucursal.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Clave primaria autoincremental del usuario.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divisionId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Clave foránea (FK) que conecta al usuario con su División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Nombre completo del usuario o ejecutivo médico.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Correo electrónico único utilizado para el inicio de sesión.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Contraseña del usuario almacenada de forma segura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Rol asignado según el ENUM UserName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26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Patient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2C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Almacena la información de identificación, contacto y previsión de salud de los pacientes que solicitan un presupuesto.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32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13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13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Clave primaria autoincremental del paciente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divisionId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Clave foránea (FK) que asocia al paciente a una Division especifica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RUT unico del paciente con guión y dígito verificador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firstName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Primer y segundo nombre del paciente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lastName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Apellido materno y paterno del paciente.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Correo electrónico de contacto para el e envío del presupuesto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Número telefónico o celular del paciente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covergateType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Tipo de previsión según ENUM CoverageType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B8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Quote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BE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Es la tabla central del negocio. Registra la cabecera de cada presupuesto generado, asociando el paciente, el ejecutivo que lo creó, el tipo de atención y los totales financieros calculados por el motor.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C4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1C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C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1C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1C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1C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C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Clave primaria del presupuesto 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divisionId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Clave foránea de la clínica que emite la cotización.</w:t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patientId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Clave foránea de la clínica que emite la cotización.</w:t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Clave foránea del ejecutivo médico que creó el presupuesto.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careType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Tipo de atención médica según ENUM CareType</w:t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Estado actual de la cotización según ENUM QuoteStatus</w:t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validUntil</w:t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Fecha de vencimiento o vigencia del presupuesto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totalAmount</w:t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Monto total bruto del presupuesto antes de coberturas médicas.</w:t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(12,2)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totalCoverage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Monto total cubierto por la Isapre o Fonasa según el cálculo del motor.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(12,2)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totalPtientePat</w:t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Copago final neto que el paciente debe cancelar 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(12,2)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4A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QuoteItem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50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Almacena el desglose detallado (las líneas de detalle) de cada ítem agregado al presupuesto (exámenes, insumos o cirugías), calculando subtotales según la cantidad.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56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25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25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25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25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26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6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Clave primaria autoincremental del ítem de la cotización.</w:t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quoteId</w:t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Clave foránea que conecta este ítem con su cabecera QUOTE.</w:t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sourceType</w:t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Origen del ítem según ENUM QuoteItemSourceType</w:t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sourceId</w:t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ID de referencia al catálogo de origen.</w:t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Descripción o nombre de la prestación médica o examen.</w:t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Cantidad solicitada del ítem.</w:t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unitPrice</w:t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Precio unitario base de la prestación.</w:t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(12,2)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totalPrice</w:t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Precio total acumulado para el ítem.</w:t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(12,2)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metadata</w:t>
            </w:r>
          </w:p>
        </w:tc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Campo flexible para guardar datos adicionales específicos en formato JSON.</w:t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Fecha y hora automática de creación del registro.</w:t>
            </w:r>
          </w:p>
        </w:tc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la última modificación del registro.</w:t>
            </w:r>
          </w:p>
        </w:tc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DC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 QuoteMedicalFeeProfessional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E2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Tabla intermedia o pivote que registra los honorarios médicos asignados de forma específica a los cirujanos y profesionales participantes en un presupuesto quirúrgico.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E8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2E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2E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2F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2F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2F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F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Clave primaria autoincremental de la relación de honorarios.</w:t>
            </w:r>
          </w:p>
        </w:tc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quoteId</w:t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Clave foránea que asocia el honorario al presupuesto. </w:t>
            </w:r>
          </w:p>
        </w:tc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professionalId</w:t>
            </w:r>
          </w:p>
        </w:tc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Clave foránea que vincula al médico u operador</w:t>
            </w:r>
          </w:p>
        </w:tc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roleInSurgery</w:t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Rol específico desempeñado en pabellón</w:t>
            </w:r>
          </w:p>
        </w:tc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professionalType</w:t>
            </w:r>
          </w:p>
        </w:tc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Tipo de contrato del profesional según ENUM ProfessionalType</w:t>
            </w:r>
          </w:p>
        </w:tc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feeAmount</w:t>
            </w:r>
          </w:p>
        </w:tc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Monto total bruto del honorario a pagar al profesional médico.</w:t>
            </w:r>
          </w:p>
        </w:tc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(12,2)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6E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Procedure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74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Catálogo maestro que almacena el listado de todos los exámenes, procedimientos médicos y cirugías disponibles en el sistema para ser cotizados.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7A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38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38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38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38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38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38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Clave primaria autoincremental de la prestación médica.</w:t>
            </w:r>
          </w:p>
        </w:tc>
        <w:tc>
          <w:tcPr/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divisionId</w:t>
            </w:r>
          </w:p>
        </w:tc>
        <w:tc>
          <w:tcPr/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Clave foránea que asocia el procedimiento a una Division específica.</w:t>
            </w:r>
          </w:p>
        </w:tc>
        <w:tc>
          <w:tcPr/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/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Código institucional o de arancel Fonasa/Isapre de la prestación</w:t>
            </w:r>
          </w:p>
        </w:tc>
        <w:tc>
          <w:tcPr/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Nombre o descripción clínica del procedimiento o examen.</w:t>
            </w:r>
          </w:p>
        </w:tc>
        <w:tc>
          <w:tcPr/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/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creación del registro.</w:t>
            </w:r>
          </w:p>
        </w:tc>
        <w:tc>
          <w:tcPr/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00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ProcedurePrice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06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Almacena los valores, tarifas o precios monetarios base asignados a cada procedimiento médico dentro de una sucursal o clínica específica.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0C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41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41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41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41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41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41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Clave primaria del registro de precio.</w:t>
            </w:r>
          </w:p>
        </w:tc>
        <w:tc>
          <w:tcPr/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divisionId</w:t>
            </w:r>
          </w:p>
        </w:tc>
        <w:tc>
          <w:tcPr/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Clave foránea que vincula el precio a una clínica.</w:t>
            </w:r>
          </w:p>
        </w:tc>
        <w:tc>
          <w:tcPr/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procedureId</w:t>
            </w:r>
          </w:p>
        </w:tc>
        <w:tc>
          <w:tcPr/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Clave foránea (FK) que conecta con la tabla Procedure.</w:t>
            </w:r>
          </w:p>
        </w:tc>
        <w:tc>
          <w:tcPr/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/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Valor monetario base de la prestación médica en pesos chilenos.</w:t>
            </w:r>
          </w:p>
        </w:tc>
        <w:tc>
          <w:tcPr/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(12,2)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92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Professional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98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Registro maestro del personal médico y especialistas de la salud cuyas tarifas u honorarios participan en los presupuestos de pabellón.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9E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4A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4A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4A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4A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4A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4A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  <w:t xml:space="preserve">Clave primaria autoincremental del profesional de la salud.</w:t>
            </w:r>
          </w:p>
        </w:tc>
        <w:tc>
          <w:tcPr/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divisionId</w:t>
            </w:r>
          </w:p>
        </w:tc>
        <w:tc>
          <w:tcPr/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Clave foránea de la división a la que pertenece el médico.</w:t>
            </w:r>
          </w:p>
        </w:tc>
        <w:tc>
          <w:tcPr/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  <w:t xml:space="preserve">RUT único del profesional con guión y dígito verificador.</w:t>
            </w:r>
          </w:p>
        </w:tc>
        <w:tc>
          <w:tcPr/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Nombre completo del médico u operador quirúrgico.</w:t>
            </w:r>
          </w:p>
        </w:tc>
        <w:tc>
          <w:tcPr/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24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QuoteEmailLog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2A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Bitácora de auditoría que registra los correos electrónicos con presupuestos enviados a los pacientes, almacenando el estado de la entrega.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30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53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53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53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53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53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53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  <w:t xml:space="preserve">Clave primaria autoincremental del log de correos.</w:t>
            </w:r>
          </w:p>
        </w:tc>
        <w:tc>
          <w:tcPr/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  <w:t xml:space="preserve">quoteId</w:t>
            </w:r>
          </w:p>
        </w:tc>
        <w:tc>
          <w:tcPr/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Clave foránea del presupuesto enviado</w:t>
            </w:r>
          </w:p>
        </w:tc>
        <w:tc>
          <w:tcPr/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  <w:t xml:space="preserve">recipientEmail</w:t>
            </w:r>
          </w:p>
        </w:tc>
        <w:tc>
          <w:tcPr/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  <w:t xml:space="preserve">Correo electrónico de destino al cual se despachó el archivo.</w:t>
            </w:r>
          </w:p>
        </w:tc>
        <w:tc>
          <w:tcPr/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  <w:t xml:space="preserve">recipientType</w:t>
            </w:r>
          </w:p>
        </w:tc>
        <w:tc>
          <w:tcPr/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  <w:t xml:space="preserve">Tipo de destinatario que recibe la información.</w:t>
            </w:r>
          </w:p>
        </w:tc>
        <w:tc>
          <w:tcPr/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  <w:t xml:space="preserve">Estado de la entrega del correo electrónico.</w:t>
            </w:r>
          </w:p>
        </w:tc>
        <w:tc>
          <w:tcPr/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  <w:t xml:space="preserve">errorMessage</w:t>
            </w:r>
          </w:p>
        </w:tc>
        <w:tc>
          <w:tcPr/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  <w:t xml:space="preserve">Almacena el error devuelto por el servicio si el envío falla.</w:t>
            </w:r>
          </w:p>
        </w:tc>
        <w:tc>
          <w:tcPr/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B6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DivisionIsapre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BC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Vincula las distintas Isapres o convenios de salud disponibles a cada división o sucursal clínica del modelo SaaS.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C2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5C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5C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5C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5C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5C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5C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tl w:val="0"/>
              </w:rPr>
              <w:t xml:space="preserve">Clave primaria autoincremental de la relación.</w:t>
            </w:r>
          </w:p>
        </w:tc>
        <w:tc>
          <w:tcPr/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tl w:val="0"/>
              </w:rPr>
              <w:t xml:space="preserve">divisionId</w:t>
            </w:r>
          </w:p>
        </w:tc>
        <w:tc>
          <w:tcPr/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tl w:val="0"/>
              </w:rPr>
              <w:t xml:space="preserve">Clave foránea que conecta con la tabla Division.</w:t>
            </w:r>
          </w:p>
        </w:tc>
        <w:tc>
          <w:tcPr/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tl w:val="0"/>
              </w:rPr>
              <w:t xml:space="preserve">isapreCode</w:t>
            </w:r>
          </w:p>
        </w:tc>
        <w:tc>
          <w:tcPr/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tl w:val="0"/>
              </w:rPr>
              <w:t xml:space="preserve">Código identificador de la Isapre .</w:t>
            </w:r>
          </w:p>
        </w:tc>
        <w:tc>
          <w:tcPr/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tl w:val="0"/>
              </w:rPr>
              <w:t xml:space="preserve">Estado del convenio en la sucursal</w:t>
            </w:r>
          </w:p>
        </w:tc>
        <w:tc>
          <w:tcPr/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48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MedicalPackage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4E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Catálogo que agrupa un conjunto de prestaciones comunes bajo un nombre de "Paquete Médico"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54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65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65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65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65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65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65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64">
            <w:pPr>
              <w:rPr/>
            </w:pPr>
            <w:r w:rsidDel="00000000" w:rsidR="00000000" w:rsidRPr="00000000">
              <w:rPr>
                <w:rtl w:val="0"/>
              </w:rPr>
              <w:t xml:space="preserve">Clave primaria del paquete médico.</w:t>
            </w:r>
          </w:p>
        </w:tc>
        <w:tc>
          <w:tcPr/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rtl w:val="0"/>
              </w:rPr>
              <w:t xml:space="preserve">divisionId</w:t>
            </w:r>
          </w:p>
        </w:tc>
        <w:tc>
          <w:tcPr/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rtl w:val="0"/>
              </w:rPr>
              <w:t xml:space="preserve">Clave foránea de la clínica propietaria del paquete.</w:t>
            </w:r>
          </w:p>
        </w:tc>
        <w:tc>
          <w:tcPr/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/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rtl w:val="0"/>
              </w:rPr>
              <w:t xml:space="preserve">Código único para identificar el paquete comercial.</w:t>
            </w:r>
          </w:p>
        </w:tc>
        <w:tc>
          <w:tcPr/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rtl w:val="0"/>
              </w:rPr>
              <w:t xml:space="preserve">Nombre descriptivo del paquete de prestaciones.</w:t>
            </w:r>
          </w:p>
        </w:tc>
        <w:tc>
          <w:tcPr/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DA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ProcedurePackageLink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E0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Tabla pivot intermedia que relaciona qué procedimientos individuales Prodecure componen o pertenecen a un paquete médico MedicalPackage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E6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6E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6E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6E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6E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6F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6F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6F3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6F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6F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F6">
            <w:pPr>
              <w:rPr/>
            </w:pPr>
            <w:r w:rsidDel="00000000" w:rsidR="00000000" w:rsidRPr="00000000">
              <w:rPr>
                <w:rtl w:val="0"/>
              </w:rPr>
              <w:t xml:space="preserve">Clave primaria de la relación del desglose.</w:t>
            </w:r>
          </w:p>
        </w:tc>
        <w:tc>
          <w:tcPr/>
          <w:p w:rsidR="00000000" w:rsidDel="00000000" w:rsidP="00000000" w:rsidRDefault="00000000" w:rsidRPr="00000000" w14:paraId="000006F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F8">
            <w:pPr>
              <w:rPr/>
            </w:pPr>
            <w:r w:rsidDel="00000000" w:rsidR="00000000" w:rsidRPr="00000000">
              <w:rPr>
                <w:rtl w:val="0"/>
              </w:rPr>
              <w:t xml:space="preserve">divisionId</w:t>
            </w:r>
          </w:p>
        </w:tc>
        <w:tc>
          <w:tcPr/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rtl w:val="0"/>
              </w:rPr>
              <w:t xml:space="preserve">Clave foránea asociada a la clínica.</w:t>
            </w:r>
          </w:p>
        </w:tc>
        <w:tc>
          <w:tcPr/>
          <w:p w:rsidR="00000000" w:rsidDel="00000000" w:rsidP="00000000" w:rsidRDefault="00000000" w:rsidRPr="00000000" w14:paraId="000006FD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FE">
            <w:pPr>
              <w:rPr/>
            </w:pPr>
            <w:r w:rsidDel="00000000" w:rsidR="00000000" w:rsidRPr="00000000">
              <w:rPr>
                <w:rtl w:val="0"/>
              </w:rPr>
              <w:t xml:space="preserve">packageId</w:t>
            </w:r>
          </w:p>
        </w:tc>
        <w:tc>
          <w:tcPr/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70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rtl w:val="0"/>
              </w:rPr>
              <w:t xml:space="preserve">Clave foránea  que apunta al MedicalPackage</w:t>
            </w:r>
          </w:p>
        </w:tc>
        <w:tc>
          <w:tcPr/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rtl w:val="0"/>
              </w:rPr>
              <w:t xml:space="preserve">procedureId</w:t>
            </w:r>
          </w:p>
        </w:tc>
        <w:tc>
          <w:tcPr/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70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70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708">
            <w:pPr>
              <w:rPr/>
            </w:pPr>
            <w:r w:rsidDel="00000000" w:rsidR="00000000" w:rsidRPr="00000000">
              <w:rPr>
                <w:rtl w:val="0"/>
              </w:rPr>
              <w:t xml:space="preserve">Clave foránea que apunta al Prodecure incluido.</w:t>
            </w:r>
          </w:p>
        </w:tc>
        <w:tc>
          <w:tcPr/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4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76C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Basket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772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:Catálogo para almacenar "Canastas" predefinidas de insumos y medicamentos para agilizar la creación de presupuestos complejos.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778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77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77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78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78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78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78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78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785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78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78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788">
            <w:pPr>
              <w:rPr/>
            </w:pPr>
            <w:r w:rsidDel="00000000" w:rsidR="00000000" w:rsidRPr="00000000">
              <w:rPr>
                <w:rtl w:val="0"/>
              </w:rPr>
              <w:t xml:space="preserve">Clave primaria de la canasta de insumos.</w:t>
            </w:r>
          </w:p>
        </w:tc>
        <w:tc>
          <w:tcPr/>
          <w:p w:rsidR="00000000" w:rsidDel="00000000" w:rsidP="00000000" w:rsidRDefault="00000000" w:rsidRPr="00000000" w14:paraId="0000078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8A">
            <w:pPr>
              <w:rPr/>
            </w:pPr>
            <w:r w:rsidDel="00000000" w:rsidR="00000000" w:rsidRPr="00000000">
              <w:rPr>
                <w:rtl w:val="0"/>
              </w:rPr>
              <w:t xml:space="preserve">divisionId</w:t>
            </w:r>
          </w:p>
        </w:tc>
        <w:tc>
          <w:tcPr/>
          <w:p w:rsidR="00000000" w:rsidDel="00000000" w:rsidP="00000000" w:rsidRDefault="00000000" w:rsidRPr="00000000" w14:paraId="0000078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78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78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78E">
            <w:pPr>
              <w:rPr/>
            </w:pPr>
            <w:r w:rsidDel="00000000" w:rsidR="00000000" w:rsidRPr="00000000">
              <w:rPr>
                <w:rtl w:val="0"/>
              </w:rPr>
              <w:t xml:space="preserve">Clave foránea que asocia la canasta a una clínica.</w:t>
            </w:r>
          </w:p>
        </w:tc>
        <w:tc>
          <w:tcPr/>
          <w:p w:rsidR="00000000" w:rsidDel="00000000" w:rsidP="00000000" w:rsidRDefault="00000000" w:rsidRPr="00000000" w14:paraId="0000078F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90">
            <w:pPr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/>
          <w:p w:rsidR="00000000" w:rsidDel="00000000" w:rsidP="00000000" w:rsidRDefault="00000000" w:rsidRPr="00000000" w14:paraId="0000079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79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79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794">
            <w:pPr>
              <w:rPr/>
            </w:pPr>
            <w:r w:rsidDel="00000000" w:rsidR="00000000" w:rsidRPr="00000000">
              <w:rPr>
                <w:rtl w:val="0"/>
              </w:rPr>
              <w:t xml:space="preserve">Código único identificador de la canasta.</w:t>
            </w:r>
          </w:p>
        </w:tc>
        <w:tc>
          <w:tcPr/>
          <w:p w:rsidR="00000000" w:rsidDel="00000000" w:rsidP="00000000" w:rsidRDefault="00000000" w:rsidRPr="00000000" w14:paraId="00000795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96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79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79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79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79A">
            <w:pPr>
              <w:rPr/>
            </w:pPr>
            <w:r w:rsidDel="00000000" w:rsidR="00000000" w:rsidRPr="00000000">
              <w:rPr>
                <w:rtl w:val="0"/>
              </w:rPr>
              <w:t xml:space="preserve">Nombre comercial o clínico de la canasta.</w:t>
            </w:r>
          </w:p>
        </w:tc>
        <w:tc>
          <w:tcPr/>
          <w:p w:rsidR="00000000" w:rsidDel="00000000" w:rsidP="00000000" w:rsidRDefault="00000000" w:rsidRPr="00000000" w14:paraId="0000079B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5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7FE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804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80A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81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81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81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81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81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81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8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6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890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896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89C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8A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8A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8A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8A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8A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8A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8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7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922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928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92E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93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93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93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93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93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93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9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8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9B4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9BA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9C0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9C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9C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9C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9C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9C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9C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9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9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A46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A4C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A52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A5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A5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A5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A5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A5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A5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A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0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AD8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ADE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AE4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AE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AE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AE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AE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AE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AE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A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1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B6A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B70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B76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B7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B7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B7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B7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B8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B8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B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2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BFC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C02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C08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C0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C0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C1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C1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C1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C1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C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3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C8E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C94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C9A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CA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CA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CA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CA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CA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CA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C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4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D20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D26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D2C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D3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D3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D3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D3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D3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D3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D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5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DB2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DB8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DBE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DC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DC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DC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DC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DC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DC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D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6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E44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E4A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E50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E5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E5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E5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E5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E5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E5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E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7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ED6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EDC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EE2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EE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EE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EE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EE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EE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EE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E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8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F68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F6E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F74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F7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F7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F7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F7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F7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F7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F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9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FFA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000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006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100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100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100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100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101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101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1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0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08C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092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098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109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109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10A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10A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10A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10A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1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1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11E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124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12A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113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113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113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113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113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113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1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2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1B0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1B6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1BC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11C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11C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11C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11C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11C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11C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11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3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242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248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24E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125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125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125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125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125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125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12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4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2D4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2DA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2E0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12E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12E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12E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12E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12E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12E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12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5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366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36C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372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137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137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137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137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137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137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13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6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IpJ0Ce2txiHyxARXeJ+KDeXULQ==">CgMxLjA4AHIhMU52V2p4aEIzeVlHYndYdTFTam9ENVVUZ0R3MDFYLUFT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