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definió que, al seleccionar una canasta o paquete en el flujo de emisión, el sistema deberá expandir automáticamente sus componentes a ítems normales del presupuesto y luego aplicar la lógica de cálculo ya implementada.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Integración futura de canastas y paquetes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Expansión a ítems de emisión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Reutilización del motor 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Integración en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Reutilizar el motor de cálculo actual y evitar lógica paralela para agrupadores.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Diseñar la expansión de canastas y paquetes hacia ítems del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Este punto quedará como continuidad del siguiente bloque de desarrollo.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