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definió la regla de cobro principal del módulo. Se acordó que el ítem más caro de cada sección se cobre al 100% y el resto al 50%, aplicándose de forma independiente por grupo.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Regla de cobro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Separación por secciones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del cálculo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Regla 100% / 50%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Aplicar la lógica por sección y no sobre el total completo del presupuesto.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una función reutilizable para el cálculo por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 regla será la base del cálculo del presupuesto en el MVP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