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E.L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definió que la regla de cobro se aplicará a prestaciones, insumos, medicamentos y día cama. Se acordó dejar fuera al equipo médico en esta etapa, tratándolo como un componente independiente.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Definición de secciones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Alcance de prestaciones, insumos, medicamentos y cama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Exclusiones del cálculo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Secciones del presupuesto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Mantener separación funcional por grupo de ítems.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Ajustar la estructura de datos del presupuesto por secciones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22-04-2026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busca evitar mezclar reglas distintas dentro del mismo cálculo.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D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E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