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implementó la lógica inicial para identificar el ítem de mayor valor dentro de cada sección y aplicar factores de cobro al resto de elementos.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del motor de cálculo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Ordenamiento por valor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Aplicación de factores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Motor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Centralizar la lógica de cobro en una sola función reutilizable.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Probar el cálculo con múltiples combinaciones de ítems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26-04-2026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reutilización del cálculo facilitará futuras extensiones.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C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D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