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revisó el comportamiento del presupuesto ante cambios en cantidades o eliminación de líneas. Se validó la necesidad de recalcular automáticamente montos y subtotales por sección.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Cambio de cantidades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Eliminación de ítems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Consistencia de subtotales y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Recalculo dinámico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Recalcular completamente la sección afectada ante cualquier modificación.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Validar recalculo en edición y eliminación de 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total general debe mantenerse consistente con el detalle.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