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jc w:val="center"/>
        <w:rPr>
          <w:rFonts w:ascii="Arial" w:cs="Arial" w:eastAsia="Arial" w:hAnsi="Arial"/>
          <w:b w:val="0"/>
          <w:bCs w:val="0"/>
          <w:color w:val="000000"/>
          <w:sz w:val="36"/>
          <w:szCs w:val="36"/>
          <w:vertAlign w:val="baseline"/>
        </w:rPr>
      </w:pPr>
      <w:r w:rsidDel="00000000" w:rsidR="00000000" w:rsidRPr="00000000">
        <w:rPr>
          <w:rFonts w:ascii="Arial" w:cs="Arial" w:eastAsia="Arial" w:hAnsi="Arial"/>
          <w:b w:val="1"/>
          <w:bCs w:val="1"/>
          <w:color w:val="000000"/>
          <w:sz w:val="36"/>
          <w:szCs w:val="36"/>
          <w:vertAlign w:val="baseline"/>
          <w:rtl w:val="0"/>
        </w:rPr>
        <w:t xml:space="preserve">Resumen de la </w:t>
      </w:r>
      <w:r w:rsidDel="00000000" w:rsidR="00000000" w:rsidRPr="00000000">
        <w:rPr>
          <w:rtl w:val="0"/>
        </w:rPr>
      </w:r>
    </w:p>
    <w:p w:rsidR="00000000" w:rsidDel="00000000" w:rsidP="00000000" w:rsidRDefault="00000000" w:rsidRPr="00000000" w14:paraId="00000002">
      <w:pPr>
        <w:spacing w:after="0" w:line="240" w:lineRule="auto"/>
        <w:jc w:val="center"/>
        <w:rPr>
          <w:rFonts w:ascii="Arial" w:cs="Arial" w:eastAsia="Arial" w:hAnsi="Arial"/>
          <w:b w:val="0"/>
          <w:bCs w:val="0"/>
          <w:color w:val="000000"/>
          <w:sz w:val="36"/>
          <w:szCs w:val="36"/>
          <w:vertAlign w:val="baseline"/>
        </w:rPr>
      </w:pPr>
      <w:r w:rsidDel="00000000" w:rsidR="00000000" w:rsidRPr="00000000">
        <w:rPr>
          <w:rFonts w:ascii="Arial" w:cs="Arial" w:eastAsia="Arial" w:hAnsi="Arial"/>
          <w:b w:val="1"/>
          <w:bCs w:val="1"/>
          <w:color w:val="000000"/>
          <w:sz w:val="36"/>
          <w:szCs w:val="36"/>
          <w:vertAlign w:val="baseline"/>
          <w:rtl w:val="0"/>
        </w:rPr>
        <w:t xml:space="preserve">Reunión Retrospectiva</w:t>
      </w:r>
      <w:r w:rsidDel="00000000" w:rsidR="00000000" w:rsidRPr="00000000">
        <w:rPr>
          <w:rtl w:val="0"/>
        </w:rPr>
      </w:r>
    </w:p>
    <w:p w:rsidR="00000000" w:rsidDel="00000000" w:rsidP="00000000" w:rsidRDefault="00000000" w:rsidRPr="00000000" w14:paraId="00000003">
      <w:pPr>
        <w:spacing w:after="0" w:line="240" w:lineRule="auto"/>
        <w:rPr>
          <w:rFonts w:ascii="Arial" w:cs="Arial" w:eastAsia="Arial" w:hAnsi="Arial"/>
          <w:b w:val="0"/>
          <w:bCs w:val="0"/>
          <w:color w:val="365f91"/>
          <w:sz w:val="24"/>
          <w:szCs w:val="24"/>
          <w:vertAlign w:val="baseline"/>
        </w:rPr>
      </w:pPr>
      <w:r w:rsidDel="00000000" w:rsidR="00000000" w:rsidRPr="00000000">
        <w:rPr>
          <w:rtl w:val="0"/>
        </w:rPr>
      </w:r>
    </w:p>
    <w:p w:rsidR="00000000" w:rsidDel="00000000" w:rsidP="00000000" w:rsidRDefault="00000000" w:rsidRPr="00000000" w14:paraId="00000004">
      <w:pPr>
        <w:spacing w:after="0" w:line="240" w:lineRule="auto"/>
        <w:rPr>
          <w:rFonts w:ascii="Arial" w:cs="Arial" w:eastAsia="Arial" w:hAnsi="Arial"/>
          <w:b w:val="0"/>
          <w:bCs w:val="0"/>
          <w:color w:val="365f91"/>
          <w:sz w:val="24"/>
          <w:szCs w:val="24"/>
          <w:vertAlign w:val="baseline"/>
        </w:rPr>
      </w:pPr>
      <w:r w:rsidDel="00000000" w:rsidR="00000000" w:rsidRPr="00000000">
        <w:rPr>
          <w:rtl w:val="0"/>
        </w:rPr>
      </w:r>
    </w:p>
    <w:p w:rsidR="00000000" w:rsidDel="00000000" w:rsidP="00000000" w:rsidRDefault="00000000" w:rsidRPr="00000000" w14:paraId="00000005">
      <w:pPr>
        <w:spacing w:after="0" w:line="240" w:lineRule="auto"/>
        <w:rPr>
          <w:rFonts w:ascii="Arial" w:cs="Arial" w:eastAsia="Arial" w:hAnsi="Arial"/>
          <w:b w:val="0"/>
          <w:bCs w:val="0"/>
          <w:color w:val="365f91"/>
          <w:sz w:val="24"/>
          <w:szCs w:val="24"/>
          <w:vertAlign w:val="baseline"/>
        </w:rPr>
      </w:pPr>
      <w:r w:rsidDel="00000000" w:rsidR="00000000" w:rsidRPr="00000000">
        <w:rPr>
          <w:rFonts w:ascii="Arial" w:cs="Arial" w:eastAsia="Arial" w:hAnsi="Arial"/>
          <w:b w:val="1"/>
          <w:bCs w:val="1"/>
          <w:color w:val="365f91"/>
          <w:sz w:val="24"/>
          <w:szCs w:val="24"/>
          <w:vertAlign w:val="baseline"/>
          <w:rtl w:val="0"/>
        </w:rPr>
        <w:t xml:space="preserve">Información de la empresa y proyecto:</w:t>
      </w:r>
      <w:r w:rsidDel="00000000" w:rsidR="00000000" w:rsidRPr="00000000">
        <w:rPr>
          <w:rtl w:val="0"/>
        </w:rPr>
      </w:r>
    </w:p>
    <w:p w:rsidR="00000000" w:rsidDel="00000000" w:rsidP="00000000" w:rsidRDefault="00000000" w:rsidRPr="00000000" w14:paraId="00000006">
      <w:pPr>
        <w:spacing w:after="0" w:line="240" w:lineRule="auto"/>
        <w:rPr>
          <w:rFonts w:ascii="Arial" w:cs="Arial" w:eastAsia="Arial" w:hAnsi="Arial"/>
          <w:b w:val="0"/>
          <w:bCs w:val="0"/>
          <w:color w:val="365f91"/>
          <w:sz w:val="24"/>
          <w:szCs w:val="24"/>
          <w:vertAlign w:val="baseline"/>
        </w:rPr>
      </w:pPr>
      <w:r w:rsidDel="00000000" w:rsidR="00000000" w:rsidRPr="00000000">
        <w:rPr>
          <w:rtl w:val="0"/>
        </w:rPr>
      </w:r>
    </w:p>
    <w:tbl>
      <w:tblPr>
        <w:tblStyle w:val="Table1"/>
        <w:tblW w:w="88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35"/>
        <w:gridCol w:w="6035"/>
        <w:tblGridChange w:id="0">
          <w:tblGrid>
            <w:gridCol w:w="2835"/>
            <w:gridCol w:w="6035"/>
          </w:tblGrid>
        </w:tblGridChange>
      </w:tblGrid>
      <w:tr>
        <w:trPr>
          <w:cantSplit w:val="0"/>
          <w:tblHeader w:val="0"/>
        </w:trPr>
        <w:tc>
          <w:tcPr>
            <w:vAlign w:val="top"/>
          </w:tcPr>
          <w:p w:rsidR="00000000" w:rsidDel="00000000" w:rsidP="00000000" w:rsidRDefault="00000000" w:rsidRPr="00000000" w14:paraId="00000007">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color w:val="000000"/>
                <w:sz w:val="24"/>
                <w:szCs w:val="24"/>
                <w:vertAlign w:val="baseline"/>
                <w:rtl w:val="0"/>
              </w:rPr>
              <w:t xml:space="preserve">Empresa / Organización</w:t>
            </w:r>
          </w:p>
        </w:tc>
        <w:tc>
          <w:tcPr>
            <w:vAlign w:val="top"/>
          </w:tcPr>
          <w:p w:rsidR="00000000" w:rsidDel="00000000" w:rsidP="00000000" w:rsidRDefault="00000000" w:rsidRPr="00000000" w14:paraId="00000008">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sz w:val="24"/>
                <w:szCs w:val="24"/>
                <w:rtl w:val="0"/>
              </w:rPr>
              <w:t xml:space="preserve">MedTech</w:t>
            </w:r>
            <w:r w:rsidDel="00000000" w:rsidR="00000000" w:rsidRPr="00000000">
              <w:rPr>
                <w:rtl w:val="0"/>
              </w:rPr>
            </w:r>
          </w:p>
        </w:tc>
      </w:tr>
      <w:tr>
        <w:trPr>
          <w:cantSplit w:val="0"/>
          <w:tblHeader w:val="0"/>
        </w:trPr>
        <w:tc>
          <w:tcPr>
            <w:vAlign w:val="top"/>
          </w:tcPr>
          <w:p w:rsidR="00000000" w:rsidDel="00000000" w:rsidP="00000000" w:rsidRDefault="00000000" w:rsidRPr="00000000" w14:paraId="00000009">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color w:val="000000"/>
                <w:sz w:val="24"/>
                <w:szCs w:val="24"/>
                <w:vertAlign w:val="baseline"/>
                <w:rtl w:val="0"/>
              </w:rPr>
              <w:t xml:space="preserve">Proyecto</w:t>
            </w:r>
          </w:p>
        </w:tc>
        <w:tc>
          <w:tcPr>
            <w:vAlign w:val="top"/>
          </w:tcPr>
          <w:p w:rsidR="00000000" w:rsidDel="00000000" w:rsidP="00000000" w:rsidRDefault="00000000" w:rsidRPr="00000000" w14:paraId="0000000A">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sz w:val="24"/>
                <w:szCs w:val="24"/>
                <w:rtl w:val="0"/>
              </w:rPr>
              <w:t xml:space="preserve">Portal de presupuestos médicos</w:t>
            </w:r>
            <w:r w:rsidDel="00000000" w:rsidR="00000000" w:rsidRPr="00000000">
              <w:rPr>
                <w:rtl w:val="0"/>
              </w:rPr>
            </w:r>
          </w:p>
        </w:tc>
      </w:tr>
    </w:tbl>
    <w:p w:rsidR="00000000" w:rsidDel="00000000" w:rsidP="00000000" w:rsidRDefault="00000000" w:rsidRPr="00000000" w14:paraId="0000000B">
      <w:pPr>
        <w:spacing w:after="0" w:line="240" w:lineRule="auto"/>
        <w:rPr>
          <w:rFonts w:ascii="Arial" w:cs="Arial" w:eastAsia="Arial" w:hAnsi="Arial"/>
          <w:b w:val="0"/>
          <w:bCs w:val="0"/>
          <w:color w:val="365f91"/>
          <w:sz w:val="24"/>
          <w:szCs w:val="24"/>
          <w:vertAlign w:val="baseline"/>
        </w:rPr>
      </w:pPr>
      <w:r w:rsidDel="00000000" w:rsidR="00000000" w:rsidRPr="00000000">
        <w:rPr>
          <w:rtl w:val="0"/>
        </w:rPr>
      </w:r>
    </w:p>
    <w:p w:rsidR="00000000" w:rsidDel="00000000" w:rsidP="00000000" w:rsidRDefault="00000000" w:rsidRPr="00000000" w14:paraId="0000000C">
      <w:pPr>
        <w:spacing w:after="0" w:line="240" w:lineRule="auto"/>
        <w:rPr>
          <w:rFonts w:ascii="Arial" w:cs="Arial" w:eastAsia="Arial" w:hAnsi="Arial"/>
          <w:b w:val="0"/>
          <w:bCs w:val="0"/>
          <w:color w:val="365f91"/>
          <w:sz w:val="24"/>
          <w:szCs w:val="24"/>
          <w:vertAlign w:val="baseline"/>
        </w:rPr>
      </w:pPr>
      <w:r w:rsidDel="00000000" w:rsidR="00000000" w:rsidRPr="00000000">
        <w:rPr>
          <w:rFonts w:ascii="Arial" w:cs="Arial" w:eastAsia="Arial" w:hAnsi="Arial"/>
          <w:b w:val="1"/>
          <w:bCs w:val="1"/>
          <w:color w:val="365f91"/>
          <w:sz w:val="24"/>
          <w:szCs w:val="24"/>
          <w:vertAlign w:val="baseline"/>
          <w:rtl w:val="0"/>
        </w:rPr>
        <w:t xml:space="preserve">Información de la reunión:</w:t>
      </w:r>
      <w:r w:rsidDel="00000000" w:rsidR="00000000" w:rsidRPr="00000000">
        <w:rPr>
          <w:rtl w:val="0"/>
        </w:rPr>
      </w:r>
    </w:p>
    <w:p w:rsidR="00000000" w:rsidDel="00000000" w:rsidP="00000000" w:rsidRDefault="00000000" w:rsidRPr="00000000" w14:paraId="0000000D">
      <w:pPr>
        <w:spacing w:after="0" w:line="240" w:lineRule="auto"/>
        <w:rPr>
          <w:rFonts w:ascii="Arial" w:cs="Arial" w:eastAsia="Arial" w:hAnsi="Arial"/>
          <w:b w:val="0"/>
          <w:bCs w:val="0"/>
          <w:color w:val="365f91"/>
          <w:sz w:val="24"/>
          <w:szCs w:val="24"/>
          <w:vertAlign w:val="baseline"/>
        </w:rPr>
      </w:pPr>
      <w:r w:rsidDel="00000000" w:rsidR="00000000" w:rsidRPr="00000000">
        <w:rPr>
          <w:rtl w:val="0"/>
        </w:rPr>
      </w:r>
    </w:p>
    <w:tbl>
      <w:tblPr>
        <w:tblStyle w:val="Table2"/>
        <w:tblW w:w="88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61"/>
        <w:gridCol w:w="5609"/>
        <w:tblGridChange w:id="0">
          <w:tblGrid>
            <w:gridCol w:w="3261"/>
            <w:gridCol w:w="5609"/>
          </w:tblGrid>
        </w:tblGridChange>
      </w:tblGrid>
      <w:tr>
        <w:trPr>
          <w:cantSplit w:val="0"/>
          <w:tblHeader w:val="0"/>
        </w:trPr>
        <w:tc>
          <w:tcPr>
            <w:vAlign w:val="top"/>
          </w:tcPr>
          <w:p w:rsidR="00000000" w:rsidDel="00000000" w:rsidP="00000000" w:rsidRDefault="00000000" w:rsidRPr="00000000" w14:paraId="0000000E">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color w:val="000000"/>
                <w:sz w:val="24"/>
                <w:szCs w:val="24"/>
                <w:vertAlign w:val="baseline"/>
                <w:rtl w:val="0"/>
              </w:rPr>
              <w:t xml:space="preserve">Lugar</w:t>
            </w:r>
          </w:p>
        </w:tc>
        <w:tc>
          <w:tcPr>
            <w:vAlign w:val="top"/>
          </w:tcPr>
          <w:p w:rsidR="00000000" w:rsidDel="00000000" w:rsidP="00000000" w:rsidRDefault="00000000" w:rsidRPr="00000000" w14:paraId="0000000F">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sz w:val="24"/>
                <w:szCs w:val="24"/>
                <w:rtl w:val="0"/>
              </w:rPr>
              <w:t xml:space="preserve">Duoc UC</w:t>
            </w:r>
            <w:r w:rsidDel="00000000" w:rsidR="00000000" w:rsidRPr="00000000">
              <w:rPr>
                <w:rtl w:val="0"/>
              </w:rPr>
            </w:r>
          </w:p>
        </w:tc>
      </w:tr>
      <w:tr>
        <w:trPr>
          <w:cantSplit w:val="0"/>
          <w:tblHeader w:val="0"/>
        </w:trPr>
        <w:tc>
          <w:tcPr>
            <w:vAlign w:val="top"/>
          </w:tcPr>
          <w:p w:rsidR="00000000" w:rsidDel="00000000" w:rsidP="00000000" w:rsidRDefault="00000000" w:rsidRPr="00000000" w14:paraId="00000010">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color w:val="000000"/>
                <w:sz w:val="24"/>
                <w:szCs w:val="24"/>
                <w:vertAlign w:val="baseline"/>
                <w:rtl w:val="0"/>
              </w:rPr>
              <w:t xml:space="preserve">Fecha</w:t>
            </w:r>
          </w:p>
        </w:tc>
        <w:tc>
          <w:tcPr>
            <w:vAlign w:val="top"/>
          </w:tcPr>
          <w:p w:rsidR="00000000" w:rsidDel="00000000" w:rsidP="00000000" w:rsidRDefault="00000000" w:rsidRPr="00000000" w14:paraId="00000011">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sz w:val="24"/>
                <w:szCs w:val="24"/>
                <w:rtl w:val="0"/>
              </w:rPr>
              <w:t xml:space="preserve">04-05-2026</w:t>
            </w:r>
            <w:r w:rsidDel="00000000" w:rsidR="00000000" w:rsidRPr="00000000">
              <w:rPr>
                <w:rtl w:val="0"/>
              </w:rPr>
            </w:r>
          </w:p>
        </w:tc>
      </w:tr>
      <w:tr>
        <w:trPr>
          <w:cantSplit w:val="0"/>
          <w:tblHeader w:val="0"/>
        </w:trPr>
        <w:tc>
          <w:tcPr>
            <w:vAlign w:val="top"/>
          </w:tcPr>
          <w:p w:rsidR="00000000" w:rsidDel="00000000" w:rsidP="00000000" w:rsidRDefault="00000000" w:rsidRPr="00000000" w14:paraId="00000012">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color w:val="000000"/>
                <w:sz w:val="24"/>
                <w:szCs w:val="24"/>
                <w:vertAlign w:val="baseline"/>
                <w:rtl w:val="0"/>
              </w:rPr>
              <w:t xml:space="preserve">Número de iteración / sprint</w:t>
            </w:r>
          </w:p>
        </w:tc>
        <w:tc>
          <w:tcPr>
            <w:vAlign w:val="top"/>
          </w:tcPr>
          <w:p w:rsidR="00000000" w:rsidDel="00000000" w:rsidP="00000000" w:rsidRDefault="00000000" w:rsidRPr="00000000" w14:paraId="00000013">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sz w:val="24"/>
                <w:szCs w:val="24"/>
                <w:rtl w:val="0"/>
              </w:rPr>
              <w:t xml:space="preserve">Sprint 01</w:t>
            </w:r>
            <w:r w:rsidDel="00000000" w:rsidR="00000000" w:rsidRPr="00000000">
              <w:rPr>
                <w:rtl w:val="0"/>
              </w:rPr>
            </w:r>
          </w:p>
        </w:tc>
      </w:tr>
      <w:tr>
        <w:trPr>
          <w:cantSplit w:val="0"/>
          <w:tblHeader w:val="0"/>
        </w:trPr>
        <w:tc>
          <w:tcPr>
            <w:vAlign w:val="top"/>
          </w:tcPr>
          <w:p w:rsidR="00000000" w:rsidDel="00000000" w:rsidP="00000000" w:rsidRDefault="00000000" w:rsidRPr="00000000" w14:paraId="00000014">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color w:val="000000"/>
                <w:sz w:val="24"/>
                <w:szCs w:val="24"/>
                <w:vertAlign w:val="baseline"/>
                <w:rtl w:val="0"/>
              </w:rPr>
              <w:t xml:space="preserve">Personas convocadas a la reunión</w:t>
            </w:r>
          </w:p>
        </w:tc>
        <w:tc>
          <w:tcPr>
            <w:vAlign w:val="top"/>
          </w:tcPr>
          <w:p w:rsidR="00000000" w:rsidDel="00000000" w:rsidP="00000000" w:rsidRDefault="00000000" w:rsidRPr="00000000" w14:paraId="00000015">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Eduardo Lara</w:t>
            </w:r>
          </w:p>
          <w:p w:rsidR="00000000" w:rsidDel="00000000" w:rsidP="00000000" w:rsidRDefault="00000000" w:rsidRPr="00000000" w14:paraId="00000016">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Fernando Cifuentes</w:t>
            </w:r>
          </w:p>
        </w:tc>
      </w:tr>
      <w:tr>
        <w:trPr>
          <w:cantSplit w:val="0"/>
          <w:tblHeader w:val="0"/>
        </w:trPr>
        <w:tc>
          <w:tcPr>
            <w:vAlign w:val="top"/>
          </w:tcPr>
          <w:p w:rsidR="00000000" w:rsidDel="00000000" w:rsidP="00000000" w:rsidRDefault="00000000" w:rsidRPr="00000000" w14:paraId="00000017">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color w:val="000000"/>
                <w:sz w:val="24"/>
                <w:szCs w:val="24"/>
                <w:vertAlign w:val="baseline"/>
                <w:rtl w:val="0"/>
              </w:rPr>
              <w:t xml:space="preserve">Personas que asistieron a la reunión</w:t>
            </w:r>
          </w:p>
        </w:tc>
        <w:tc>
          <w:tcPr>
            <w:vAlign w:val="top"/>
          </w:tcPr>
          <w:p w:rsidR="00000000" w:rsidDel="00000000" w:rsidP="00000000" w:rsidRDefault="00000000" w:rsidRPr="00000000" w14:paraId="00000018">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Eduardo Lara</w:t>
            </w:r>
          </w:p>
          <w:p w:rsidR="00000000" w:rsidDel="00000000" w:rsidP="00000000" w:rsidRDefault="00000000" w:rsidRPr="00000000" w14:paraId="00000019">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Fernando Cifuentes</w:t>
            </w:r>
          </w:p>
        </w:tc>
      </w:tr>
    </w:tbl>
    <w:p w:rsidR="00000000" w:rsidDel="00000000" w:rsidP="00000000" w:rsidRDefault="00000000" w:rsidRPr="00000000" w14:paraId="0000001A">
      <w:pPr>
        <w:spacing w:after="0" w:line="240" w:lineRule="auto"/>
        <w:rPr>
          <w:rFonts w:ascii="Arial" w:cs="Arial" w:eastAsia="Arial" w:hAnsi="Arial"/>
          <w:b w:val="0"/>
          <w:bCs w:val="0"/>
          <w:color w:val="365f91"/>
          <w:sz w:val="24"/>
          <w:szCs w:val="24"/>
          <w:vertAlign w:val="baseline"/>
        </w:rPr>
      </w:pPr>
      <w:r w:rsidDel="00000000" w:rsidR="00000000" w:rsidRPr="00000000">
        <w:rPr>
          <w:rtl w:val="0"/>
        </w:rPr>
      </w:r>
    </w:p>
    <w:p w:rsidR="00000000" w:rsidDel="00000000" w:rsidP="00000000" w:rsidRDefault="00000000" w:rsidRPr="00000000" w14:paraId="0000001B">
      <w:pPr>
        <w:spacing w:after="0" w:line="240" w:lineRule="auto"/>
        <w:rPr>
          <w:rFonts w:ascii="Arial" w:cs="Arial" w:eastAsia="Arial" w:hAnsi="Arial"/>
          <w:b w:val="0"/>
          <w:bCs w:val="0"/>
          <w:color w:val="365f91"/>
          <w:sz w:val="24"/>
          <w:szCs w:val="24"/>
          <w:vertAlign w:val="baseline"/>
        </w:rPr>
      </w:pPr>
      <w:r w:rsidDel="00000000" w:rsidR="00000000" w:rsidRPr="00000000">
        <w:rPr>
          <w:rFonts w:ascii="Arial" w:cs="Arial" w:eastAsia="Arial" w:hAnsi="Arial"/>
          <w:b w:val="1"/>
          <w:bCs w:val="1"/>
          <w:color w:val="365f91"/>
          <w:sz w:val="24"/>
          <w:szCs w:val="24"/>
          <w:vertAlign w:val="baseline"/>
          <w:rtl w:val="0"/>
        </w:rPr>
        <w:t xml:space="preserve">Instrucciones:</w:t>
      </w:r>
      <w:r w:rsidDel="00000000" w:rsidR="00000000" w:rsidRPr="00000000">
        <w:rPr>
          <w:rtl w:val="0"/>
        </w:rPr>
      </w:r>
    </w:p>
    <w:p w:rsidR="00000000" w:rsidDel="00000000" w:rsidP="00000000" w:rsidRDefault="00000000" w:rsidRPr="00000000" w14:paraId="0000001C">
      <w:pPr>
        <w:spacing w:after="0" w:line="240" w:lineRule="auto"/>
        <w:rPr>
          <w:rFonts w:ascii="Arial" w:cs="Arial" w:eastAsia="Arial" w:hAnsi="Arial"/>
          <w:b w:val="0"/>
          <w:bCs w:val="0"/>
          <w:color w:val="365f91"/>
          <w:sz w:val="24"/>
          <w:szCs w:val="24"/>
          <w:vertAlign w:val="baseline"/>
        </w:rPr>
      </w:pPr>
      <w:r w:rsidDel="00000000" w:rsidR="00000000" w:rsidRPr="00000000">
        <w:rPr>
          <w:rtl w:val="0"/>
        </w:rPr>
      </w:r>
    </w:p>
    <w:p w:rsidR="00000000" w:rsidDel="00000000" w:rsidP="00000000" w:rsidRDefault="00000000" w:rsidRPr="00000000" w14:paraId="0000001D">
      <w:pPr>
        <w:spacing w:after="0" w:line="240" w:lineRule="auto"/>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La reunión retrospectiva es una herramienta del marco de trabajo Scrum, que pertenece a la familia de marcos de trabajo de desarrollo ágil, se realiza en cada iteración (denominado Sprint en Scrum), justo después de la reunión de revisión de la iteración (Sprint Review Meeting) con el dueño del Producto (Product Owner). En esta reunión deben revisarse tres aspectos, lo que salió bien durante la iteración (aciertos), lo que no salió tan bien (errores) y las mejoras que pudieran hacerse en la próxima iteración para evitar errores y mantener aciertos.</w:t>
      </w:r>
    </w:p>
    <w:p w:rsidR="00000000" w:rsidDel="00000000" w:rsidP="00000000" w:rsidRDefault="00000000" w:rsidRPr="00000000" w14:paraId="0000001E">
      <w:pPr>
        <w:spacing w:after="0" w:line="240" w:lineRule="auto"/>
        <w:rPr>
          <w:rFonts w:ascii="Arial" w:cs="Arial" w:eastAsia="Arial" w:hAnsi="Arial"/>
          <w:color w:val="000000"/>
          <w:sz w:val="20"/>
          <w:szCs w:val="20"/>
          <w:vertAlign w:val="baseline"/>
        </w:rPr>
      </w:pPr>
      <w:r w:rsidDel="00000000" w:rsidR="00000000" w:rsidRPr="00000000">
        <w:rPr>
          <w:rtl w:val="0"/>
        </w:rPr>
      </w:r>
    </w:p>
    <w:p w:rsidR="00000000" w:rsidDel="00000000" w:rsidP="00000000" w:rsidRDefault="00000000" w:rsidRPr="00000000" w14:paraId="0000001F">
      <w:pPr>
        <w:spacing w:after="0" w:line="240" w:lineRule="auto"/>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El dueño del producto (Product Owner) no asiste a la reunión, por lo que es una oportunidad para el equipo para poder hablar sin tapujos de los éxitos y fracasos, siendo importante para el equipo el analizar su propio desempeño e identificar estrategias para mejorar sus procesos. De forma similar, el Scrum Master (quien es el coach del equipo Scrum) puede observar impedimentos comunes que están afectando al equipo y tomar acciones para resolverlos.</w:t>
      </w:r>
    </w:p>
    <w:p w:rsidR="00000000" w:rsidDel="00000000" w:rsidP="00000000" w:rsidRDefault="00000000" w:rsidRPr="00000000" w14:paraId="00000020">
      <w:pPr>
        <w:spacing w:after="0" w:line="240" w:lineRule="auto"/>
        <w:rPr>
          <w:rFonts w:ascii="Arial" w:cs="Arial" w:eastAsia="Arial" w:hAnsi="Arial"/>
          <w:color w:val="000000"/>
          <w:sz w:val="20"/>
          <w:szCs w:val="20"/>
          <w:vertAlign w:val="baseline"/>
        </w:rPr>
      </w:pPr>
      <w:r w:rsidDel="00000000" w:rsidR="00000000" w:rsidRPr="00000000">
        <w:rPr>
          <w:rtl w:val="0"/>
        </w:rPr>
      </w:r>
    </w:p>
    <w:p w:rsidR="00000000" w:rsidDel="00000000" w:rsidP="00000000" w:rsidRDefault="00000000" w:rsidRPr="00000000" w14:paraId="00000021">
      <w:pPr>
        <w:spacing w:after="0" w:line="240" w:lineRule="auto"/>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La reunión usualmente se restringe a tres horas.</w:t>
      </w:r>
    </w:p>
    <w:p w:rsidR="00000000" w:rsidDel="00000000" w:rsidP="00000000" w:rsidRDefault="00000000" w:rsidRPr="00000000" w14:paraId="00000022">
      <w:pPr>
        <w:spacing w:after="0" w:line="240" w:lineRule="auto"/>
        <w:rPr>
          <w:rFonts w:ascii="Arial" w:cs="Arial" w:eastAsia="Arial" w:hAnsi="Arial"/>
          <w:color w:val="000000"/>
          <w:sz w:val="20"/>
          <w:szCs w:val="20"/>
          <w:vertAlign w:val="baseline"/>
        </w:rPr>
        <w:sectPr>
          <w:headerReference r:id="rId7" w:type="default"/>
          <w:footerReference r:id="rId8" w:type="default"/>
          <w:pgSz w:h="15840" w:w="12240" w:orient="portrait"/>
          <w:pgMar w:bottom="1418" w:top="1985" w:left="1701" w:right="1701" w:header="709" w:footer="709"/>
          <w:pgNumType w:start="1"/>
        </w:sectPr>
      </w:pP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hanging="708"/>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4">
      <w:pPr>
        <w:spacing w:after="0" w:line="240" w:lineRule="auto"/>
        <w:jc w:val="center"/>
        <w:rPr>
          <w:rFonts w:ascii="Arial" w:cs="Arial" w:eastAsia="Arial" w:hAnsi="Arial"/>
          <w:b w:val="0"/>
          <w:bCs w:val="0"/>
          <w:color w:val="000000"/>
          <w:sz w:val="36"/>
          <w:szCs w:val="36"/>
          <w:vertAlign w:val="baseline"/>
        </w:rPr>
      </w:pPr>
      <w:r w:rsidDel="00000000" w:rsidR="00000000" w:rsidRPr="00000000">
        <w:rPr>
          <w:rFonts w:ascii="Arial" w:cs="Arial" w:eastAsia="Arial" w:hAnsi="Arial"/>
          <w:b w:val="1"/>
          <w:bCs w:val="1"/>
          <w:color w:val="000000"/>
          <w:sz w:val="36"/>
          <w:szCs w:val="36"/>
          <w:vertAlign w:val="baseline"/>
          <w:rtl w:val="0"/>
        </w:rPr>
        <w:t xml:space="preserve">Formulario de reunión retrospectiva</w:t>
      </w: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hanging="708"/>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tbl>
      <w:tblPr>
        <w:tblStyle w:val="Table3"/>
        <w:tblW w:w="1247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828"/>
        <w:gridCol w:w="4110"/>
        <w:gridCol w:w="4536"/>
        <w:tblGridChange w:id="0">
          <w:tblGrid>
            <w:gridCol w:w="3828"/>
            <w:gridCol w:w="4110"/>
            <w:gridCol w:w="4536"/>
          </w:tblGrid>
        </w:tblGridChange>
      </w:tblGrid>
      <w:tr>
        <w:trPr>
          <w:cantSplit w:val="1"/>
          <w:tblHeader w:val="1"/>
        </w:trPr>
        <w:tc>
          <w:tcPr>
            <w:shd w:fill="d9d9d9" w:val="clear"/>
            <w:vAlign w:val="top"/>
          </w:tcPr>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365f91"/>
                <w:sz w:val="24"/>
                <w:szCs w:val="24"/>
                <w:u w:val="none"/>
                <w:shd w:fill="auto" w:val="clear"/>
                <w:vertAlign w:val="baseline"/>
                <w:rtl w:val="0"/>
              </w:rPr>
              <w:t xml:space="preserve">¿Qué salió bien en la iteración? (aciertos)</w:t>
            </w:r>
            <w:r w:rsidDel="00000000" w:rsidR="00000000" w:rsidRPr="00000000">
              <w:rPr>
                <w:rtl w:val="0"/>
              </w:rPr>
            </w:r>
          </w:p>
        </w:tc>
        <w:tc>
          <w:tcPr>
            <w:shd w:fill="d9d9d9" w:val="clear"/>
            <w:vAlign w:val="top"/>
          </w:tcPr>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365f91"/>
                <w:sz w:val="24"/>
                <w:szCs w:val="24"/>
                <w:u w:val="none"/>
                <w:shd w:fill="auto" w:val="clear"/>
                <w:vertAlign w:val="baseline"/>
                <w:rtl w:val="0"/>
              </w:rPr>
              <w:t xml:space="preserve">¿Qué no salió bien en la iteración? (errores)</w:t>
            </w:r>
            <w:r w:rsidDel="00000000" w:rsidR="00000000" w:rsidRPr="00000000">
              <w:rPr>
                <w:rtl w:val="0"/>
              </w:rPr>
            </w:r>
          </w:p>
        </w:tc>
        <w:tc>
          <w:tcPr>
            <w:shd w:fill="d9d9d9" w:val="clear"/>
            <w:vAlign w:val="top"/>
          </w:tcPr>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365f91"/>
                <w:sz w:val="24"/>
                <w:szCs w:val="24"/>
                <w:u w:val="none"/>
                <w:shd w:fill="auto" w:val="clear"/>
                <w:vertAlign w:val="baseline"/>
                <w:rtl w:val="0"/>
              </w:rPr>
              <w:t xml:space="preserve">¿Qué mejoras vamos a implementar en la próxima iteración? (recomendaciones de mejora continua)</w:t>
            </w:r>
            <w:r w:rsidDel="00000000" w:rsidR="00000000" w:rsidRPr="00000000">
              <w:rPr>
                <w:rtl w:val="0"/>
              </w:rPr>
            </w:r>
          </w:p>
        </w:tc>
      </w:tr>
      <w:tr>
        <w:trPr>
          <w:cantSplit w:val="0"/>
          <w:tblHeader w:val="0"/>
        </w:trPr>
        <w:tc>
          <w:tcPr>
            <w:vAlign w:val="top"/>
          </w:tcPr>
          <w:p w:rsidR="00000000" w:rsidDel="00000000" w:rsidP="00000000" w:rsidRDefault="00000000" w:rsidRPr="00000000" w14:paraId="00000029">
            <w:pPr>
              <w:numPr>
                <w:ilvl w:val="0"/>
                <w:numId w:val="3"/>
              </w:numPr>
              <w:spacing w:after="0" w:line="276" w:lineRule="auto"/>
              <w:ind w:left="720" w:hanging="360"/>
              <w:rPr>
                <w:rFonts w:ascii="Arial" w:cs="Arial" w:eastAsia="Arial" w:hAnsi="Arial"/>
                <w:sz w:val="24"/>
                <w:szCs w:val="24"/>
                <w:u w:val="none"/>
              </w:rPr>
            </w:pPr>
            <w:r w:rsidDel="00000000" w:rsidR="00000000" w:rsidRPr="00000000">
              <w:rPr>
                <w:rFonts w:ascii="Arial" w:cs="Arial" w:eastAsia="Arial" w:hAnsi="Arial"/>
                <w:b w:val="1"/>
                <w:bCs w:val="1"/>
                <w:sz w:val="24"/>
                <w:szCs w:val="24"/>
                <w:rtl w:val="0"/>
              </w:rPr>
              <w:t xml:space="preserve">Definición de la arquitectura base: </w:t>
            </w:r>
            <w:r w:rsidDel="00000000" w:rsidR="00000000" w:rsidRPr="00000000">
              <w:rPr>
                <w:rFonts w:ascii="Arial" w:cs="Arial" w:eastAsia="Arial" w:hAnsi="Arial"/>
                <w:sz w:val="24"/>
                <w:szCs w:val="24"/>
                <w:rtl w:val="0"/>
              </w:rPr>
              <w:t xml:space="preserve">Se logró configurar de manera exitosa el entorno desacoplado utilizando Next.js para el frontend y NestJS para el backend.</w:t>
            </w:r>
          </w:p>
          <w:p w:rsidR="00000000" w:rsidDel="00000000" w:rsidP="00000000" w:rsidRDefault="00000000" w:rsidRPr="00000000" w14:paraId="0000002A">
            <w:pPr>
              <w:numPr>
                <w:ilvl w:val="0"/>
                <w:numId w:val="3"/>
              </w:numPr>
              <w:spacing w:after="0" w:line="276" w:lineRule="auto"/>
              <w:ind w:left="720" w:hanging="360"/>
              <w:rPr>
                <w:rFonts w:ascii="Arial" w:cs="Arial" w:eastAsia="Arial" w:hAnsi="Arial"/>
                <w:sz w:val="24"/>
                <w:szCs w:val="24"/>
                <w:u w:val="none"/>
              </w:rPr>
            </w:pPr>
            <w:r w:rsidDel="00000000" w:rsidR="00000000" w:rsidRPr="00000000">
              <w:rPr>
                <w:rFonts w:ascii="Arial" w:cs="Arial" w:eastAsia="Arial" w:hAnsi="Arial"/>
                <w:b w:val="1"/>
                <w:bCs w:val="1"/>
                <w:sz w:val="24"/>
                <w:szCs w:val="24"/>
                <w:rtl w:val="0"/>
              </w:rPr>
              <w:t xml:space="preserve">Habilitación de servicios esenciales:</w:t>
            </w:r>
            <w:r w:rsidDel="00000000" w:rsidR="00000000" w:rsidRPr="00000000">
              <w:rPr>
                <w:rFonts w:ascii="Arial" w:cs="Arial" w:eastAsia="Arial" w:hAnsi="Arial"/>
                <w:sz w:val="24"/>
                <w:szCs w:val="24"/>
                <w:rtl w:val="0"/>
              </w:rPr>
              <w:t xml:space="preserve"> Se disponibilizaron correctamente los endpoints críticos para interactuar con la información de Pacientes, Isapres y Prestaciones.</w:t>
            </w:r>
          </w:p>
          <w:p w:rsidR="00000000" w:rsidDel="00000000" w:rsidP="00000000" w:rsidRDefault="00000000" w:rsidRPr="00000000" w14:paraId="0000002B">
            <w:pPr>
              <w:numPr>
                <w:ilvl w:val="0"/>
                <w:numId w:val="3"/>
              </w:numPr>
              <w:spacing w:after="0" w:line="276" w:lineRule="auto"/>
              <w:ind w:left="720" w:hanging="360"/>
              <w:rPr>
                <w:rFonts w:ascii="Arial" w:cs="Arial" w:eastAsia="Arial" w:hAnsi="Arial"/>
                <w:sz w:val="24"/>
                <w:szCs w:val="24"/>
                <w:u w:val="none"/>
              </w:rPr>
            </w:pPr>
            <w:r w:rsidDel="00000000" w:rsidR="00000000" w:rsidRPr="00000000">
              <w:rPr>
                <w:rFonts w:ascii="Arial" w:cs="Arial" w:eastAsia="Arial" w:hAnsi="Arial"/>
                <w:b w:val="1"/>
                <w:bCs w:val="1"/>
                <w:sz w:val="24"/>
                <w:szCs w:val="24"/>
                <w:rtl w:val="0"/>
              </w:rPr>
              <w:t xml:space="preserve">Construcción del core del negocio:</w:t>
            </w:r>
            <w:r w:rsidDel="00000000" w:rsidR="00000000" w:rsidRPr="00000000">
              <w:rPr>
                <w:rFonts w:ascii="Arial" w:cs="Arial" w:eastAsia="Arial" w:hAnsi="Arial"/>
                <w:sz w:val="24"/>
                <w:szCs w:val="24"/>
                <w:rtl w:val="0"/>
              </w:rPr>
              <w:t xml:space="preserve"> Se completó el modelamiento y la construcción del flujo principal del sistema, permitiendo la identificación de pacientes y la conformación del presupuesto por secciones.</w:t>
            </w:r>
          </w:p>
          <w:p w:rsidR="00000000" w:rsidDel="00000000" w:rsidP="00000000" w:rsidRDefault="00000000" w:rsidRPr="00000000" w14:paraId="0000002C">
            <w:pPr>
              <w:numPr>
                <w:ilvl w:val="0"/>
                <w:numId w:val="3"/>
              </w:numPr>
              <w:spacing w:after="0" w:line="276" w:lineRule="auto"/>
              <w:ind w:left="720" w:hanging="360"/>
              <w:rPr>
                <w:rFonts w:ascii="Arial" w:cs="Arial" w:eastAsia="Arial" w:hAnsi="Arial"/>
                <w:sz w:val="24"/>
                <w:szCs w:val="24"/>
                <w:u w:val="none"/>
              </w:rPr>
            </w:pPr>
            <w:r w:rsidDel="00000000" w:rsidR="00000000" w:rsidRPr="00000000">
              <w:rPr>
                <w:rFonts w:ascii="Arial" w:cs="Arial" w:eastAsia="Arial" w:hAnsi="Arial"/>
                <w:b w:val="1"/>
                <w:bCs w:val="1"/>
                <w:sz w:val="24"/>
                <w:szCs w:val="24"/>
                <w:rtl w:val="0"/>
              </w:rPr>
              <w:t xml:space="preserve">Robustez en las validaciones: </w:t>
            </w:r>
            <w:r w:rsidDel="00000000" w:rsidR="00000000" w:rsidRPr="00000000">
              <w:rPr>
                <w:rFonts w:ascii="Arial" w:cs="Arial" w:eastAsia="Arial" w:hAnsi="Arial"/>
                <w:sz w:val="24"/>
                <w:szCs w:val="24"/>
                <w:rtl w:val="0"/>
              </w:rPr>
              <w:t xml:space="preserve">Se implementó correctamente la lógica para la validación y normalización de RUT en el módulo de pacientes.</w:t>
            </w:r>
          </w:p>
          <w:p w:rsidR="00000000" w:rsidDel="00000000" w:rsidP="00000000" w:rsidRDefault="00000000" w:rsidRPr="00000000" w14:paraId="0000002D">
            <w:pPr>
              <w:numPr>
                <w:ilvl w:val="0"/>
                <w:numId w:val="3"/>
              </w:numPr>
              <w:spacing w:after="0" w:line="276" w:lineRule="auto"/>
              <w:ind w:left="720" w:hanging="360"/>
              <w:rPr>
                <w:rFonts w:ascii="Arial" w:cs="Arial" w:eastAsia="Arial" w:hAnsi="Arial"/>
                <w:sz w:val="24"/>
                <w:szCs w:val="24"/>
                <w:u w:val="none"/>
              </w:rPr>
            </w:pPr>
            <w:r w:rsidDel="00000000" w:rsidR="00000000" w:rsidRPr="00000000">
              <w:rPr>
                <w:rFonts w:ascii="Arial" w:cs="Arial" w:eastAsia="Arial" w:hAnsi="Arial"/>
                <w:b w:val="1"/>
                <w:bCs w:val="1"/>
                <w:sz w:val="24"/>
                <w:szCs w:val="24"/>
                <w:rtl w:val="0"/>
              </w:rPr>
              <w:t xml:space="preserve">Carga de datos lista:</w:t>
            </w:r>
            <w:r w:rsidDel="00000000" w:rsidR="00000000" w:rsidRPr="00000000">
              <w:rPr>
                <w:rFonts w:ascii="Arial" w:cs="Arial" w:eastAsia="Arial" w:hAnsi="Arial"/>
                <w:sz w:val="24"/>
                <w:szCs w:val="24"/>
                <w:rtl w:val="0"/>
              </w:rPr>
              <w:t xml:space="preserve"> Se completó la carga de datos maestros en la base de datos, dejando la plataforma funcional.</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rFonts w:ascii="Arial" w:cs="Arial" w:eastAsia="Arial" w:hAnsi="Arial"/>
                <w:color w:val="365f91"/>
                <w:sz w:val="24"/>
                <w:szCs w:val="24"/>
              </w:rPr>
            </w:pPr>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rFonts w:ascii="Arial" w:cs="Arial" w:eastAsia="Arial" w:hAnsi="Arial"/>
                <w:color w:val="365f91"/>
                <w:sz w:val="24"/>
                <w:szCs w:val="24"/>
              </w:rPr>
            </w:pPr>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color w:val="365f91"/>
                <w:sz w:val="24"/>
                <w:szCs w:val="24"/>
              </w:rPr>
            </w:pPr>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color w:val="365f91"/>
                <w:sz w:val="24"/>
                <w:szCs w:val="24"/>
              </w:rPr>
            </w:pPr>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45">
            <w:pPr>
              <w:numPr>
                <w:ilvl w:val="0"/>
                <w:numId w:val="2"/>
              </w:numPr>
              <w:spacing w:after="0" w:line="276" w:lineRule="auto"/>
              <w:ind w:left="720" w:hanging="360"/>
              <w:rPr>
                <w:rFonts w:ascii="Arial" w:cs="Arial" w:eastAsia="Arial" w:hAnsi="Arial"/>
                <w:sz w:val="24"/>
                <w:szCs w:val="24"/>
                <w:u w:val="none"/>
              </w:rPr>
            </w:pPr>
            <w:r w:rsidDel="00000000" w:rsidR="00000000" w:rsidRPr="00000000">
              <w:rPr>
                <w:rFonts w:ascii="Arial" w:cs="Arial" w:eastAsia="Arial" w:hAnsi="Arial"/>
                <w:b w:val="1"/>
                <w:bCs w:val="1"/>
                <w:sz w:val="24"/>
                <w:szCs w:val="24"/>
                <w:rtl w:val="0"/>
              </w:rPr>
              <w:t xml:space="preserve">Complejidad en las reglas de cálculo:</w:t>
            </w:r>
            <w:r w:rsidDel="00000000" w:rsidR="00000000" w:rsidRPr="00000000">
              <w:rPr>
                <w:rFonts w:ascii="Arial" w:cs="Arial" w:eastAsia="Arial" w:hAnsi="Arial"/>
                <w:sz w:val="24"/>
                <w:szCs w:val="24"/>
                <w:rtl w:val="0"/>
              </w:rPr>
              <w:t xml:space="preserve"> El desarrollo de la lógica de cobro diferenciada por secciones tomó más tiempo del estimado originalmente debido a la dispersión inicial de las reglas de negocio manuales.</w:t>
            </w:r>
          </w:p>
          <w:p w:rsidR="00000000" w:rsidDel="00000000" w:rsidP="00000000" w:rsidRDefault="00000000" w:rsidRPr="00000000" w14:paraId="00000046">
            <w:pPr>
              <w:numPr>
                <w:ilvl w:val="0"/>
                <w:numId w:val="2"/>
              </w:numPr>
              <w:spacing w:after="0" w:line="276" w:lineRule="auto"/>
              <w:ind w:left="720" w:hanging="360"/>
              <w:rPr>
                <w:rFonts w:ascii="Arial" w:cs="Arial" w:eastAsia="Arial" w:hAnsi="Arial"/>
                <w:sz w:val="24"/>
                <w:szCs w:val="24"/>
                <w:u w:val="none"/>
              </w:rPr>
            </w:pPr>
            <w:r w:rsidDel="00000000" w:rsidR="00000000" w:rsidRPr="00000000">
              <w:rPr>
                <w:rFonts w:ascii="Arial" w:cs="Arial" w:eastAsia="Arial" w:hAnsi="Arial"/>
                <w:b w:val="1"/>
                <w:bCs w:val="1"/>
                <w:sz w:val="24"/>
                <w:szCs w:val="24"/>
                <w:rtl w:val="0"/>
              </w:rPr>
              <w:t xml:space="preserve">Dependencia de datos maestros: </w:t>
            </w:r>
            <w:r w:rsidDel="00000000" w:rsidR="00000000" w:rsidRPr="00000000">
              <w:rPr>
                <w:rFonts w:ascii="Arial" w:cs="Arial" w:eastAsia="Arial" w:hAnsi="Arial"/>
                <w:sz w:val="24"/>
                <w:szCs w:val="24"/>
                <w:rtl w:val="0"/>
              </w:rPr>
              <w:t xml:space="preserve">La implementación de la interfaz de Next.js se vio ligeramente retrasada hasta que la base de datos con los aranceles y precios estuvo completamente cargada.</w:t>
            </w:r>
          </w:p>
          <w:p w:rsidR="00000000" w:rsidDel="00000000" w:rsidP="00000000" w:rsidRDefault="00000000" w:rsidRPr="00000000" w14:paraId="00000047">
            <w:pPr>
              <w:numPr>
                <w:ilvl w:val="0"/>
                <w:numId w:val="2"/>
              </w:numPr>
              <w:spacing w:after="0" w:line="276" w:lineRule="auto"/>
              <w:ind w:left="720" w:hanging="360"/>
              <w:rPr>
                <w:rFonts w:ascii="Arial" w:cs="Arial" w:eastAsia="Arial" w:hAnsi="Arial"/>
                <w:sz w:val="24"/>
                <w:szCs w:val="24"/>
                <w:u w:val="none"/>
              </w:rPr>
            </w:pPr>
            <w:r w:rsidDel="00000000" w:rsidR="00000000" w:rsidRPr="00000000">
              <w:rPr>
                <w:rFonts w:ascii="Arial" w:cs="Arial" w:eastAsia="Arial" w:hAnsi="Arial"/>
                <w:b w:val="1"/>
                <w:bCs w:val="1"/>
                <w:sz w:val="24"/>
                <w:szCs w:val="24"/>
                <w:rtl w:val="0"/>
              </w:rPr>
              <w:t xml:space="preserve">Alertas básicas:</w:t>
            </w:r>
            <w:r w:rsidDel="00000000" w:rsidR="00000000" w:rsidRPr="00000000">
              <w:rPr>
                <w:rFonts w:ascii="Arial" w:cs="Arial" w:eastAsia="Arial" w:hAnsi="Arial"/>
                <w:sz w:val="24"/>
                <w:szCs w:val="24"/>
                <w:rtl w:val="0"/>
              </w:rPr>
              <w:t xml:space="preserve"> El desarrollo de las notificaciones tipo toast para errores y éxitos requirió ajustes adicionales para acoplarse correctamente con las respuestas del backend en NestJS.</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color w:val="365f91"/>
                <w:sz w:val="24"/>
                <w:szCs w:val="24"/>
              </w:rPr>
            </w:pPr>
            <w:r w:rsidDel="00000000" w:rsidR="00000000" w:rsidRPr="00000000">
              <w:rPr>
                <w:rtl w:val="0"/>
              </w:rPr>
            </w:r>
          </w:p>
        </w:tc>
        <w:tc>
          <w:tcPr>
            <w:vAlign w:val="top"/>
          </w:tcPr>
          <w:p w:rsidR="00000000" w:rsidDel="00000000" w:rsidP="00000000" w:rsidRDefault="00000000" w:rsidRPr="00000000" w14:paraId="00000049">
            <w:pPr>
              <w:numPr>
                <w:ilvl w:val="0"/>
                <w:numId w:val="1"/>
              </w:numPr>
              <w:spacing w:after="0" w:line="276" w:lineRule="auto"/>
              <w:ind w:left="720" w:hanging="360"/>
              <w:rPr>
                <w:rFonts w:ascii="Arial" w:cs="Arial" w:eastAsia="Arial" w:hAnsi="Arial"/>
                <w:sz w:val="24"/>
                <w:szCs w:val="24"/>
                <w:u w:val="none"/>
              </w:rPr>
            </w:pPr>
            <w:r w:rsidDel="00000000" w:rsidR="00000000" w:rsidRPr="00000000">
              <w:rPr>
                <w:rFonts w:ascii="Arial" w:cs="Arial" w:eastAsia="Arial" w:hAnsi="Arial"/>
                <w:b w:val="1"/>
                <w:bCs w:val="1"/>
                <w:sz w:val="24"/>
                <w:szCs w:val="24"/>
                <w:rtl w:val="0"/>
              </w:rPr>
              <w:t xml:space="preserve">Adelantar diseño de base de datos: </w:t>
            </w:r>
            <w:r w:rsidDel="00000000" w:rsidR="00000000" w:rsidRPr="00000000">
              <w:rPr>
                <w:rFonts w:ascii="Arial" w:cs="Arial" w:eastAsia="Arial" w:hAnsi="Arial"/>
                <w:sz w:val="24"/>
                <w:szCs w:val="24"/>
                <w:rtl w:val="0"/>
              </w:rPr>
              <w:t xml:space="preserve">Para el Sprint 02, se deben poblar previamente los esquemas de base de datos relacionados con honorarios médicos y recargos antes de diseñar la interfaz, evitando tiempos de espera.</w:t>
            </w:r>
          </w:p>
          <w:p w:rsidR="00000000" w:rsidDel="00000000" w:rsidP="00000000" w:rsidRDefault="00000000" w:rsidRPr="00000000" w14:paraId="0000004A">
            <w:pPr>
              <w:numPr>
                <w:ilvl w:val="0"/>
                <w:numId w:val="1"/>
              </w:numPr>
              <w:spacing w:after="0" w:line="276" w:lineRule="auto"/>
              <w:ind w:left="720" w:hanging="360"/>
              <w:rPr>
                <w:rFonts w:ascii="Arial" w:cs="Arial" w:eastAsia="Arial" w:hAnsi="Arial"/>
                <w:sz w:val="24"/>
                <w:szCs w:val="24"/>
                <w:u w:val="none"/>
              </w:rPr>
            </w:pPr>
            <w:r w:rsidDel="00000000" w:rsidR="00000000" w:rsidRPr="00000000">
              <w:rPr>
                <w:rFonts w:ascii="Arial" w:cs="Arial" w:eastAsia="Arial" w:hAnsi="Arial"/>
                <w:b w:val="1"/>
                <w:bCs w:val="1"/>
                <w:sz w:val="24"/>
                <w:szCs w:val="24"/>
                <w:rtl w:val="0"/>
              </w:rPr>
              <w:t xml:space="preserve">Manejo de errores estandarizado:</w:t>
            </w:r>
            <w:r w:rsidDel="00000000" w:rsidR="00000000" w:rsidRPr="00000000">
              <w:rPr>
                <w:rFonts w:ascii="Arial" w:cs="Arial" w:eastAsia="Arial" w:hAnsi="Arial"/>
                <w:sz w:val="24"/>
                <w:szCs w:val="24"/>
                <w:rtl w:val="0"/>
              </w:rPr>
              <w:t xml:space="preserve"> Establecer una estructura de respuesta única en NestJS para que las notificaciones tipo toast del frontend en Next.js se desplieguen de forma automática y más rápida.</w:t>
            </w:r>
          </w:p>
          <w:p w:rsidR="00000000" w:rsidDel="00000000" w:rsidP="00000000" w:rsidRDefault="00000000" w:rsidRPr="00000000" w14:paraId="0000004B">
            <w:pPr>
              <w:numPr>
                <w:ilvl w:val="0"/>
                <w:numId w:val="1"/>
              </w:numPr>
              <w:spacing w:after="0" w:line="276" w:lineRule="auto"/>
              <w:ind w:left="720" w:hanging="360"/>
              <w:rPr>
                <w:rFonts w:ascii="Arial" w:cs="Arial" w:eastAsia="Arial" w:hAnsi="Arial"/>
                <w:sz w:val="24"/>
                <w:szCs w:val="24"/>
                <w:u w:val="none"/>
              </w:rPr>
            </w:pPr>
            <w:r w:rsidDel="00000000" w:rsidR="00000000" w:rsidRPr="00000000">
              <w:rPr>
                <w:rFonts w:ascii="Arial" w:cs="Arial" w:eastAsia="Arial" w:hAnsi="Arial"/>
                <w:b w:val="1"/>
                <w:bCs w:val="1"/>
                <w:sz w:val="24"/>
                <w:szCs w:val="24"/>
                <w:rtl w:val="0"/>
              </w:rPr>
              <w:t xml:space="preserve">Pruebas tempranas de exportación: </w:t>
            </w:r>
            <w:r w:rsidDel="00000000" w:rsidR="00000000" w:rsidRPr="00000000">
              <w:rPr>
                <w:rFonts w:ascii="Arial" w:cs="Arial" w:eastAsia="Arial" w:hAnsi="Arial"/>
                <w:sz w:val="24"/>
                <w:szCs w:val="24"/>
                <w:rtl w:val="0"/>
              </w:rPr>
              <w:t xml:space="preserve">Iniciar la investigación de las librerías de generación de PDF a comienzos del sprint (HU-EXP-03) para evitar retrasos en la entrega de la versión mínima operativa.</w:t>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color w:val="365f91"/>
                <w:sz w:val="24"/>
                <w:szCs w:val="24"/>
                <w:u w:val="none"/>
              </w:rPr>
            </w:pPr>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hanging="708"/>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1">
      <w:pPr>
        <w:spacing w:after="0" w:line="240" w:lineRule="auto"/>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Nota:</w:t>
      </w:r>
    </w:p>
    <w:p w:rsidR="00000000" w:rsidDel="00000000" w:rsidP="00000000" w:rsidRDefault="00000000" w:rsidRPr="00000000" w14:paraId="00000052">
      <w:pPr>
        <w:numPr>
          <w:ilvl w:val="0"/>
          <w:numId w:val="4"/>
        </w:numPr>
        <w:spacing w:after="0" w:line="240" w:lineRule="auto"/>
        <w:ind w:left="720" w:hanging="360"/>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Se recomienda utilizar viñetas (bullets) para enumerar los aciertos, errores y recomendaciones de mejora continua.</w:t>
      </w:r>
    </w:p>
    <w:p w:rsidR="00000000" w:rsidDel="00000000" w:rsidP="00000000" w:rsidRDefault="00000000" w:rsidRPr="00000000" w14:paraId="00000053">
      <w:pPr>
        <w:numPr>
          <w:ilvl w:val="0"/>
          <w:numId w:val="4"/>
        </w:numPr>
        <w:spacing w:after="0" w:line="240" w:lineRule="auto"/>
        <w:ind w:left="720" w:hanging="360"/>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El formulario se puede extender cuantas páginas sea necesario para registrar todos los aciertos, errores y recomendaciones.</w:t>
      </w:r>
    </w:p>
    <w:sectPr>
      <w:headerReference r:id="rId9" w:type="default"/>
      <w:type w:val="nextPage"/>
      <w:pgSz w:h="12240" w:w="15840" w:orient="landscape"/>
      <w:pgMar w:bottom="1701" w:top="1701" w:left="1985" w:right="1418" w:header="709" w:footer="709"/>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200" w:before="0" w:line="276"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La Oficina de Proyectos de Informática (http://www.pmoinformatica.com)</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left"/>
      <w:rPr>
        <w:rFonts w:ascii="Calibri" w:cs="Calibri" w:eastAsia="Calibri" w:hAnsi="Calibri"/>
        <w:b w:val="0"/>
        <w:bCs w:val="0"/>
        <w:i w:val="0"/>
        <w:iCs w:val="0"/>
        <w:smallCaps w:val="0"/>
        <w:strike w:val="0"/>
        <w:color w:val="0d0d0d"/>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0d0d0d"/>
        <w:sz w:val="28"/>
        <w:szCs w:val="28"/>
        <w:u w:val="none"/>
        <w:shd w:fill="auto" w:val="clear"/>
        <w:vertAlign w:val="baseline"/>
        <w:rtl w:val="0"/>
      </w:rPr>
      <w:t xml:space="preserve">La Oficina de Proyectos de Informática</w:t>
    </w:r>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right"/>
      <w:rPr>
        <w:rFonts w:ascii="Calibri" w:cs="Calibri" w:eastAsia="Calibri" w:hAnsi="Calibri"/>
        <w:b w:val="0"/>
        <w:bCs w:val="0"/>
        <w:i w:val="0"/>
        <w:iCs w:val="0"/>
        <w:smallCaps w:val="0"/>
        <w:strike w:val="0"/>
        <w:color w:val="365f91"/>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365f91"/>
        <w:sz w:val="24"/>
        <w:szCs w:val="24"/>
        <w:u w:val="none"/>
        <w:shd w:fill="auto" w:val="clear"/>
        <w:vertAlign w:val="baseline"/>
        <w:rtl w:val="0"/>
      </w:rPr>
      <w:t xml:space="preserve">www.pmoinformatica.com</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-21588</wp:posOffset>
              </wp:positionH>
              <wp:positionV relativeFrom="paragraph">
                <wp:posOffset>177165</wp:posOffset>
              </wp:positionV>
              <wp:extent cx="5650865" cy="200660"/>
              <wp:effectExtent b="0" l="0" r="0" t="0"/>
              <wp:wrapNone/>
              <wp:docPr id="2" name=""/>
              <a:graphic>
                <a:graphicData uri="http://schemas.microsoft.com/office/word/2010/wordprocessingShape">
                  <wps:wsp>
                    <wps:cNvSpPr/>
                    <wps:cNvPr id="3" name="Shape 3"/>
                    <wps:spPr>
                      <a:xfrm>
                        <a:off x="2539618" y="3698720"/>
                        <a:ext cx="5612765" cy="162560"/>
                      </a:xfrm>
                      <a:prstGeom prst="rect">
                        <a:avLst/>
                      </a:prstGeom>
                      <a:solidFill>
                        <a:srgbClr val="4F81BD"/>
                      </a:solidFill>
                      <a:ln cap="flat" cmpd="sng" w="38100">
                        <a:solidFill>
                          <a:srgbClr val="F2F2F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-21588</wp:posOffset>
              </wp:positionH>
              <wp:positionV relativeFrom="paragraph">
                <wp:posOffset>177165</wp:posOffset>
              </wp:positionV>
              <wp:extent cx="5650865" cy="200660"/>
              <wp:effectExtent b="0" l="0" r="0" t="0"/>
              <wp:wrapNone/>
              <wp:docPr id="2"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5650865" cy="200660"/>
                      </a:xfrm>
                      <a:prstGeom prst="rect"/>
                      <a:ln/>
                    </pic:spPr>
                  </pic:pic>
                </a:graphicData>
              </a:graphic>
            </wp:anchor>
          </w:drawing>
        </mc:Fallback>
      </mc:AlternateConten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right"/>
      <w:rPr>
        <w:rFonts w:ascii="Calibri" w:cs="Calibri" w:eastAsia="Calibri" w:hAnsi="Calibri"/>
        <w:b w:val="0"/>
        <w:bCs w:val="0"/>
        <w:i w:val="0"/>
        <w:iCs w:val="0"/>
        <w:smallCaps w:val="0"/>
        <w:strike w:val="0"/>
        <w:color w:val="365f91"/>
        <w:sz w:val="24"/>
        <w:szCs w:val="2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left"/>
      <w:rPr>
        <w:rFonts w:ascii="Calibri" w:cs="Calibri" w:eastAsia="Calibri" w:hAnsi="Calibri"/>
        <w:b w:val="0"/>
        <w:bCs w:val="0"/>
        <w:i w:val="0"/>
        <w:iCs w:val="0"/>
        <w:smallCaps w:val="0"/>
        <w:strike w:val="0"/>
        <w:color w:val="0d0d0d"/>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0d0d0d"/>
        <w:sz w:val="28"/>
        <w:szCs w:val="28"/>
        <w:u w:val="none"/>
        <w:shd w:fill="auto" w:val="clear"/>
        <w:vertAlign w:val="baseline"/>
        <w:rtl w:val="0"/>
      </w:rPr>
      <w:t xml:space="preserve">La Oficina de Proyectos de Informática</w:t>
    </w:r>
    <w:r w:rsidDel="00000000" w:rsidR="00000000" w:rsidRPr="00000000">
      <w:rPr>
        <w:rtl w:val="0"/>
      </w:rPr>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right"/>
      <w:rPr>
        <w:rFonts w:ascii="Calibri" w:cs="Calibri" w:eastAsia="Calibri" w:hAnsi="Calibri"/>
        <w:b w:val="0"/>
        <w:bCs w:val="0"/>
        <w:i w:val="0"/>
        <w:iCs w:val="0"/>
        <w:smallCaps w:val="0"/>
        <w:strike w:val="0"/>
        <w:color w:val="365f91"/>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365f91"/>
        <w:sz w:val="24"/>
        <w:szCs w:val="24"/>
        <w:u w:val="none"/>
        <w:shd w:fill="auto" w:val="clear"/>
        <w:vertAlign w:val="baseline"/>
        <w:rtl w:val="0"/>
      </w:rPr>
      <w:t xml:space="preserve">www.pmoinformatica.com</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-21588</wp:posOffset>
              </wp:positionH>
              <wp:positionV relativeFrom="paragraph">
                <wp:posOffset>177165</wp:posOffset>
              </wp:positionV>
              <wp:extent cx="7916545" cy="200660"/>
              <wp:effectExtent b="0" l="0" r="0" t="0"/>
              <wp:wrapNone/>
              <wp:docPr id="1" name=""/>
              <a:graphic>
                <a:graphicData uri="http://schemas.microsoft.com/office/word/2010/wordprocessingShape">
                  <wps:wsp>
                    <wps:cNvSpPr/>
                    <wps:cNvPr id="2" name="Shape 2"/>
                    <wps:spPr>
                      <a:xfrm>
                        <a:off x="1406778" y="3698720"/>
                        <a:ext cx="7878445" cy="162560"/>
                      </a:xfrm>
                      <a:prstGeom prst="rect">
                        <a:avLst/>
                      </a:prstGeom>
                      <a:solidFill>
                        <a:srgbClr val="4F81BD"/>
                      </a:solidFill>
                      <a:ln cap="flat" cmpd="sng" w="38100">
                        <a:solidFill>
                          <a:srgbClr val="F2F2F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-21588</wp:posOffset>
              </wp:positionH>
              <wp:positionV relativeFrom="paragraph">
                <wp:posOffset>177165</wp:posOffset>
              </wp:positionV>
              <wp:extent cx="7916545" cy="200660"/>
              <wp:effectExtent b="0" l="0" r="0" t="0"/>
              <wp:wrapNone/>
              <wp:docPr id="1" name="image1.png"/>
              <a:graphic>
                <a:graphicData uri="http://schemas.openxmlformats.org/drawingml/2006/picture">
                  <pic:pic>
                    <pic:nvPicPr>
                      <pic:cNvPr id="0" name="image1.png"/>
                      <pic:cNvPicPr preferRelativeResize="0"/>
                    </pic:nvPicPr>
                    <pic:blipFill>
                      <a:blip r:embed="rId1"/>
                      <a:srcRect/>
                      <a:stretch>
                        <a:fillRect/>
                      </a:stretch>
                    </pic:blipFill>
                    <pic:spPr>
                      <a:xfrm>
                        <a:off x="0" y="0"/>
                        <a:ext cx="7916545" cy="200660"/>
                      </a:xfrm>
                      <a:prstGeom prst="rect"/>
                      <a:ln/>
                    </pic:spPr>
                  </pic:pic>
                </a:graphicData>
              </a:graphic>
            </wp:anchor>
          </w:drawing>
        </mc:Fallback>
      </mc:AlternateConten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right"/>
      <w:rPr>
        <w:rFonts w:ascii="Calibri" w:cs="Calibri" w:eastAsia="Calibri" w:hAnsi="Calibri"/>
        <w:b w:val="0"/>
        <w:bCs w:val="0"/>
        <w:i w:val="0"/>
        <w:iCs w:val="0"/>
        <w:smallCaps w:val="0"/>
        <w:strike w:val="0"/>
        <w:color w:val="365f91"/>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VE"/>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nppxBVhesdZxC5AyeKym1X+0eNQ==">CgMxLjA4AHIhMTlOZ3FveXNnakxkTDZFWV9sdnJwNVJTVHFjWHdubE9v</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