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Arial" w:cs="Arial" w:eastAsia="Arial" w:hAnsi="Arial"/>
          <w:i w:val="0"/>
          <w:i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Informe de avances sprint 02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APT - 02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Estado de avance proyecto “Portal de presupuestos médicos”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Eduardo Lara</w:t>
            </w:r>
          </w:p>
          <w:p w:rsidR="00000000" w:rsidDel="00000000" w:rsidP="00000000" w:rsidRDefault="00000000" w:rsidRPr="00000000" w14:paraId="00000011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Fernando Cifuentes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13-05-26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200" w:line="288" w:lineRule="auto"/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Portal de presupuestos médicos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Fernando Cifuentes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MedTech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righ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973547283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i w:val="0"/>
                <w:iCs w:val="0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u w:val="single"/>
                <w:rtl w:val="0"/>
              </w:rPr>
              <w:t xml:space="preserve">f.cifuentesp@duocuc.cl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Eduardo Lara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Medtech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righ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rtl w:val="0"/>
              </w:rPr>
              <w:t xml:space="preserve">926374836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i w:val="0"/>
                <w:iCs w:val="0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righ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i w:val="0"/>
                <w:iCs w:val="0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right"/>
              <w:rPr>
                <w:rFonts w:ascii="Arial" w:cs="Arial" w:eastAsia="Arial" w:hAnsi="Arial"/>
                <w:i w:val="0"/>
                <w:i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i w:val="0"/>
                <w:iCs w:val="0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Introducción </w:t>
      </w:r>
    </w:p>
    <w:p w:rsidR="00000000" w:rsidDel="00000000" w:rsidP="00000000" w:rsidRDefault="00000000" w:rsidRPr="00000000" w14:paraId="0000003A">
      <w:pPr>
        <w:spacing w:after="240" w:line="276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El proyecto corresponde al desarrollo de un portal web para la emisión de presupuestos médicos. Durante este sprint se avanzó en dos funcionalidades clave del módulo principal: la implementación de la regla de cobro por secciones y la generación funcional de un PDF del presupuesto. Estos avances permiten mejorar tanto el cálculo del presupuesto como su salida en un formato descargable.</w:t>
      </w:r>
    </w:p>
    <w:p w:rsidR="00000000" w:rsidDel="00000000" w:rsidP="00000000" w:rsidRDefault="00000000" w:rsidRPr="00000000" w14:paraId="0000003B">
      <w:pPr>
        <w:pStyle w:val="Heading1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Resumen Sprint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Durante el sprint se trabajó en la lógica de cobro del presupuesto y en la generación del documento final en PDF. Se implementó una regla de cálculo por secciones, donde el ítem de mayor valor se cobra al 100% y los restantes al 50%, aplicándose de forma independiente en prestaciones, insumos, medicamentos y día cama. Además, se desarrolló la generación de un PDF funcional del presupuesto desde el sistema, permitiendo descargar un documento con la información ingresada en el flujo.</w:t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Tareas realizadas</w:t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Anexos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Regla de cobro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Definición e implementación de la lógica de cobro 100% / 50%.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Separación del presupuesto por secciones.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Recalculo automático de montos al agregar, editar o eliminar ítems.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Cálculo de subtotales por sección y total general.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Generación de PDF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Implementación del servicio de generación de PDF en backend.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Creación de endpoint para emitir el PDF del presupuesto.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Construcción de plantilla HTML base para exportación.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Integración del frontend con la descarga automática del PDF.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88" w:lineRule="auto"/>
        <w:ind w:left="720" w:hanging="360"/>
        <w:rPr>
          <w:rFonts w:ascii="Arial" w:cs="Arial" w:eastAsia="Arial" w:hAnsi="Arial"/>
          <w:i w:val="0"/>
          <w:iCs w:val="0"/>
          <w:u w:val="no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Validación funcional del flujo completo de emisión y descarga.</w:t>
      </w:r>
    </w:p>
    <w:p w:rsidR="00000000" w:rsidDel="00000000" w:rsidP="00000000" w:rsidRDefault="00000000" w:rsidRPr="00000000" w14:paraId="0000004A">
      <w:pPr>
        <w:spacing w:line="288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Próximo Sprint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En el próximo sprint se proyecta avanzar en la implementación del login del sistema y en mejoras sobre la presentación del PDF generado, incorporando un formato más ordenado y visualmente más institucional. También se espera continuar fortaleciendo la lógica de negocio asociada a cobros y validaciones del presupuesto.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</w:rPr>
        <w:drawing>
          <wp:inline distB="114300" distT="114300" distL="114300" distR="114300">
            <wp:extent cx="6332220" cy="3759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</w:rPr>
        <w:drawing>
          <wp:inline distB="114300" distT="114300" distL="114300" distR="114300">
            <wp:extent cx="6332220" cy="4419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Arial" w:cs="Arial" w:eastAsia="Arial" w:hAnsi="Arial"/>
          <w:i w:val="0"/>
          <w:iCs w:val="0"/>
        </w:rPr>
      </w:pPr>
      <w:bookmarkStart w:colFirst="0" w:colLast="0" w:name="_heading=h.wj2xdiehts7y" w:id="0"/>
      <w:bookmarkEnd w:id="0"/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6670</wp:posOffset>
              </wp:positionH>
              <wp:positionV relativeFrom="paragraph">
                <wp:posOffset>-48574</wp:posOffset>
              </wp:positionV>
              <wp:extent cx="64103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03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3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dHqVu0Pg6pjdTqsufl8zCgbZg==">CgMxLjAyDmgud2oyeGRpZWh0czd5OAByITFjMkZDZTBHbnBYQXhHWmVHMmh4X0pDYWRaZ2FJR2dfVQ==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