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130"/>
        <w:tblGridChange w:id="0">
          <w:tblGrid>
            <w:gridCol w:w="4500"/>
            <w:gridCol w:w="5130"/>
          </w:tblGrid>
        </w:tblGridChange>
      </w:tblGrid>
      <w:tr>
        <w:trPr>
          <w:trHeight w:val="563.96484375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b w:val="1"/>
                <w:i w:val="1"/>
                <w:sz w:val="36"/>
                <w:szCs w:val="36"/>
                <w:rtl w:val="0"/>
              </w:rPr>
              <w:t xml:space="preserve">: BARBA REAL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06">
            <w:pPr>
              <w:widowControl w:val="0"/>
              <w:shd w:fill="ffffff" w:val="clear"/>
              <w:spacing w:after="300"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Es un tipo barba con una perilla de líneas delgadas a los lados del mentón, además también lleva bigote. Indudablemente, que su ornamental no va conectado con el bigote, ni la barbilla.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Servicio: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Barba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Rostro: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 cuadrado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Estilo: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Moderno, clásico</w:t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shd w:fill="ffffff" w:val="clear"/>
        <w:spacing w:after="300"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