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PLANTEAMIENTO DEL PROBLEMA, OBJETIVOS E HIPÓTESIS</w:t>
      </w:r>
    </w:p>
    <w:p>
      <w:pPr>
        <w:jc w:val="center"/>
      </w:pPr>
      <w:r>
        <w:rPr>
          <w:i/>
          <w:color w:val="595959"/>
          <w:sz w:val="24"/>
        </w:rPr>
        <w:t>Guía de Aprendizaje Teórica-Práctica y Plantilla para el Proyecto Integrador</w:t>
        <w:br/>
        <w:t>Diseñada para la Sesión 3 de Investigación Cuantitativa en Marketing</w:t>
      </w:r>
    </w:p>
    <w:p>
      <w:pPr>
        <w:jc w:val="center"/>
      </w:pPr>
      <w:r>
        <w:t>------------------------------------------------------------</w:t>
      </w:r>
    </w:p>
    <w:p>
      <w:r>
        <w:rPr>
          <w:b w:val="0"/>
        </w:rPr>
        <w:t xml:space="preserve">La transición desde un síntoma visible en el mercado hasta la delimitación científica de un problema de investigación de mercados (PIM), sus objetivos de datos correspondientes y sus hipótesis analíticas constituye el cimiento del diseño de investigación cuantitativa. </w:t>
      </w:r>
      <w:r>
        <w:t>Esta guía metodológica estructurada proporciona el marco conceptual fundamental para que el docente guíe la sesión en tres microexplicaciones secuenciales de diez minutos. Además, incluye la aplicación práctica en tiempo real del Caso "Misti Cacao" y establece con precisión los entregables y la matriz que los estudiantes de marketing del IES Thomas Jefferson deben formular para iniciar el primer capítulo operativo de su informe de proyecto final.</w:t>
      </w:r>
    </w:p>
    <w:p>
      <w:pPr>
        <w:pStyle w:val="Heading1"/>
      </w:pPr>
      <w:r>
        <w:t>1. PUNTOS CLAVE PARA EL PLANTEAMIENTO METODOLÓGICO</w:t>
      </w:r>
    </w:p>
    <w:p>
      <w:r>
        <w:t>Al formular el planteamiento, las variables y las hipótesis del estudio de mercado, el investigador debe considerar cuatro principios de consistencia científica:</w:t>
      </w:r>
    </w:p>
    <w:p>
      <w:pPr>
        <w:pStyle w:val="ListBullet"/>
      </w:pPr>
      <w:r>
        <w:rPr>
          <w:b/>
        </w:rPr>
        <w:t xml:space="preserve">Evitar el sesgo comercial: </w:t>
      </w:r>
      <w:r>
        <w:t>El estudio de mercado no define campañas publicitarias ni estrategias operativas de ventas; define qué información cuantitativa es necesaria para reducir la incertidumbre gerencial.</w:t>
      </w:r>
    </w:p>
    <w:p>
      <w:pPr>
        <w:pStyle w:val="ListBullet"/>
      </w:pPr>
      <w:r>
        <w:rPr>
          <w:b/>
        </w:rPr>
        <w:t xml:space="preserve">Asegurar la falsabilidad de las hipótesis: </w:t>
      </w:r>
      <w:r>
        <w:t>Toda hipótesis planteada debe poder someterse a pruebas de contraste cuantitativo en softwares como Jamovi o Excel, existiendo la posibilidad de ser rechazada por los datos.</w:t>
      </w:r>
    </w:p>
    <w:p>
      <w:pPr>
        <w:pStyle w:val="ListBullet"/>
      </w:pPr>
      <w:r>
        <w:rPr>
          <w:b/>
        </w:rPr>
        <w:t xml:space="preserve">Operacionalización rigurosa: </w:t>
      </w:r>
      <w:r>
        <w:t>Cada variable abstracta (como la conciencia ambiental o la percepción de precio) debe vincularse obligatoriamente con una escala de medición exacta para el cuestionario.</w:t>
      </w:r>
    </w:p>
    <w:p>
      <w:pPr>
        <w:pStyle w:val="ListBullet"/>
      </w:pPr>
      <w:r>
        <w:rPr>
          <w:b/>
        </w:rPr>
        <w:t xml:space="preserve">La Matriz de Consistencia como plano guía: </w:t>
      </w:r>
      <w:r>
        <w:t>No se debe incluir ninguna pregunta en el formulario de campo que no responda directamente a un objetivo específico y una hipótesis declarada.</w:t>
      </w:r>
    </w:p>
    <w:p>
      <w:pPr>
        <w:pStyle w:val="Heading1"/>
      </w:pPr>
      <w:r>
        <w:t>2. LAS TRES MICROEXPLICACIONES DE DIEZ MINUTOS</w:t>
      </w:r>
    </w:p>
    <w:p>
      <w:pPr>
        <w:pStyle w:val="Heading2"/>
      </w:pPr>
      <w:r>
        <w:t>2.1. Bloque 1: El Problema Investigable (10 Minutos)</w:t>
      </w:r>
    </w:p>
    <w:p>
      <w:r>
        <w:t>El primer paso crítico es aprender a diferenciar un síntoma operativo del negocio de una causa subyacente que requiera un proceso sistemático de medición de datos. Esta microexplicación aborda tres nociones clave:</w:t>
      </w:r>
    </w:p>
    <w:p>
      <w:pPr>
        <w:pStyle w:val="Heading3"/>
      </w:pPr>
      <w:r>
        <w:t>El Principio del Iceberg en Marketing</w:t>
      </w:r>
    </w:p>
    <w:p>
      <w:r>
        <w:t>Los directivos de empresas suelen alarmarse por los síntomas visibles en la superficie: una caída del 15% en las ventas de temporada, una pérdida constante de participación de mercado o quejas acumuladas de los distribuidores en los puntos de venta. Sin embargo, estos dolores financieros son meros síntomas (la punta del iceberg). El verdadero problema de investigación cuantitativa radica en sumergirse en busca de las causas subyacentes (la masa sumergida del iceberg), tales como una inconsistencia en la relación calidad-precio percibida, el lanzamiento de un empaque superior de la competencia o cambios profundos en las actitudes y hábitos del consumidor objetivo.</w:t>
      </w:r>
    </w:p>
    <w:p>
      <w:pPr>
        <w:pStyle w:val="Heading3"/>
      </w:pPr>
      <w:r>
        <w:t>Diferencia entre el PDG y el PIM</w:t>
      </w:r>
    </w:p>
    <w:p>
      <w:r>
        <w:t>Para estructurar el planteamiento, se debe traducir el Problema de Decisión Gerencial (PDG) en un Problema de Investigación de Mercados (PIM):</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2F5496"/>
            <w:tcMar>
              <w:top w:w="120" w:type="dxa"/>
              <w:bottom w:w="120" w:type="dxa"/>
              <w:left w:w="150" w:type="dxa"/>
              <w:right w:w="150" w:type="dxa"/>
            </w:tcMar>
          </w:tcPr>
          <w:p>
            <w:pPr>
              <w:jc w:val="center"/>
            </w:pPr>
            <w:r>
              <w:rPr>
                <w:b/>
                <w:color w:val="FFFFFF"/>
              </w:rPr>
              <w:t>Criterio de Análisis</w:t>
            </w:r>
          </w:p>
        </w:tc>
        <w:tc>
          <w:tcPr>
            <w:tcW w:type="dxa" w:w="3600"/>
            <w:shd w:val="clear" w:color="auto" w:fill="2F5496"/>
            <w:tcMar>
              <w:top w:w="120" w:type="dxa"/>
              <w:bottom w:w="120" w:type="dxa"/>
              <w:left w:w="150" w:type="dxa"/>
              <w:right w:w="150" w:type="dxa"/>
            </w:tcMar>
          </w:tcPr>
          <w:p>
            <w:pPr>
              <w:jc w:val="center"/>
            </w:pPr>
            <w:r>
              <w:rPr>
                <w:b/>
                <w:color w:val="FFFFFF"/>
              </w:rPr>
              <w:t>Problema de Decisión Gerencial (PDG)</w:t>
            </w:r>
          </w:p>
        </w:tc>
        <w:tc>
          <w:tcPr>
            <w:tcW w:type="dxa" w:w="3600"/>
            <w:shd w:val="clear" w:color="auto" w:fill="2F5496"/>
            <w:tcMar>
              <w:top w:w="120" w:type="dxa"/>
              <w:bottom w:w="120" w:type="dxa"/>
              <w:left w:w="150" w:type="dxa"/>
              <w:right w:w="150" w:type="dxa"/>
            </w:tcMar>
          </w:tcPr>
          <w:p>
            <w:pPr>
              <w:jc w:val="center"/>
            </w:pPr>
            <w:r>
              <w:rPr>
                <w:b/>
                <w:color w:val="FFFFFF"/>
              </w:rPr>
              <w:t>Problema de Investigación de Mercados (PIM)</w:t>
            </w:r>
          </w:p>
        </w:tc>
      </w:tr>
      <w:tr>
        <w:tc>
          <w:tcPr>
            <w:tcW w:type="dxa" w:w="2160"/>
            <w:tcMar>
              <w:top w:w="100" w:type="dxa"/>
              <w:bottom w:w="100" w:type="dxa"/>
              <w:left w:w="150" w:type="dxa"/>
              <w:right w:w="150" w:type="dxa"/>
            </w:tcMar>
          </w:tcPr>
          <w:p>
            <w:r>
              <w:rPr>
                <w:b/>
              </w:rPr>
              <w:t>Orientación y Foco</w:t>
            </w:r>
          </w:p>
        </w:tc>
        <w:tc>
          <w:tcPr>
            <w:tcW w:type="dxa" w:w="3600"/>
            <w:tcMar>
              <w:top w:w="100" w:type="dxa"/>
              <w:bottom w:w="100" w:type="dxa"/>
              <w:left w:w="150" w:type="dxa"/>
              <w:right w:w="150" w:type="dxa"/>
            </w:tcMar>
          </w:tcPr>
          <w:p>
            <w:r>
              <w:t>Orientado a la ACCIÓN (¿Qué debe hacer el gerente?). Se concentra en síntomas visibles externos del negocio.</w:t>
            </w:r>
          </w:p>
        </w:tc>
        <w:tc>
          <w:tcPr>
            <w:tcW w:type="dxa" w:w="3600"/>
            <w:tcMar>
              <w:top w:w="100" w:type="dxa"/>
              <w:bottom w:w="100" w:type="dxa"/>
              <w:left w:w="150" w:type="dxa"/>
              <w:right w:w="150" w:type="dxa"/>
            </w:tcMar>
          </w:tcPr>
          <w:p>
            <w:r>
              <w:t>Orientado a la INFORMACIÓN (¿Qué necesitamos saber?). Se enfoca en las causas subyacentes e intangibles.</w:t>
            </w:r>
          </w:p>
        </w:tc>
      </w:tr>
      <w:tr>
        <w:tc>
          <w:tcPr>
            <w:tcW w:type="dxa" w:w="2160"/>
            <w:tcMar>
              <w:top w:w="100" w:type="dxa"/>
              <w:bottom w:w="100" w:type="dxa"/>
              <w:left w:w="150" w:type="dxa"/>
              <w:right w:w="150" w:type="dxa"/>
            </w:tcMar>
          </w:tcPr>
          <w:p>
            <w:r>
              <w:rPr>
                <w:b/>
              </w:rPr>
              <w:t>Pregunta Eje Típica</w:t>
            </w:r>
          </w:p>
        </w:tc>
        <w:tc>
          <w:tcPr>
            <w:tcW w:type="dxa" w:w="3600"/>
            <w:tcMar>
              <w:top w:w="100" w:type="dxa"/>
              <w:bottom w:w="100" w:type="dxa"/>
              <w:left w:w="150" w:type="dxa"/>
              <w:right w:w="150" w:type="dxa"/>
            </w:tcMar>
          </w:tcPr>
          <w:p>
            <w:r>
              <w:t>¿Debemos cambiar el diseño del empaque del producto actual por una propuesta biodegradable?</w:t>
            </w:r>
          </w:p>
        </w:tc>
        <w:tc>
          <w:tcPr>
            <w:tcW w:type="dxa" w:w="3600"/>
            <w:tcMar>
              <w:top w:w="100" w:type="dxa"/>
              <w:bottom w:w="100" w:type="dxa"/>
              <w:left w:w="150" w:type="dxa"/>
              <w:right w:w="150" w:type="dxa"/>
            </w:tcMar>
          </w:tcPr>
          <w:p>
            <w:r>
              <w:t>¿Cómo influye la valoración del empaque ecológico y la sensibilidad de precio en la intención de compra del cliente?</w:t>
            </w:r>
          </w:p>
        </w:tc>
      </w:tr>
    </w:tbl>
    <w:p/>
    <w:p>
      <w:pPr>
        <w:pStyle w:val="Heading3"/>
      </w:pPr>
      <w:r>
        <w:t>La Delimitación Científica: Los Cinco Pilares</w:t>
      </w:r>
    </w:p>
    <w:p>
      <w:r>
        <w:t>Para ser investigable cuantitativamente, el problema planteado debe estructurarse obligatoriamente bajo cinco dimensiones o pilares limitantes:</w:t>
      </w:r>
    </w:p>
    <w:p>
      <w:pPr>
        <w:pStyle w:val="ListBullet"/>
      </w:pPr>
      <w:r>
        <w:rPr>
          <w:b/>
        </w:rPr>
        <w:t xml:space="preserve">¿Qué medir? (Objeto de estudio): </w:t>
      </w:r>
      <w:r>
        <w:t>Las variables de marketing que se investigarán (frecuencia de recompra, valoración ecológica, percepción de precio).</w:t>
      </w:r>
    </w:p>
    <w:p>
      <w:pPr>
        <w:pStyle w:val="ListBullet"/>
      </w:pPr>
      <w:r>
        <w:rPr>
          <w:b/>
        </w:rPr>
        <w:t xml:space="preserve">¿De quién obtener la información? (Unidad de análisis): </w:t>
      </w:r>
      <w:r>
        <w:t>Definición del público objetivo o perfil del encuestado (ej. hombres y mujeres de 18 a 45 años, consumidores de chocolates).</w:t>
      </w:r>
    </w:p>
    <w:p>
      <w:pPr>
        <w:pStyle w:val="ListBullet"/>
      </w:pPr>
      <w:r>
        <w:rPr>
          <w:b/>
        </w:rPr>
        <w:t xml:space="preserve">¿Dónde realizar el estudio? (Ámbito geográfico): </w:t>
      </w:r>
      <w:r>
        <w:t>La limitación territorial exacta (ej. la ciudad de Arequipa o Lima Metropolitana).</w:t>
      </w:r>
    </w:p>
    <w:p>
      <w:pPr>
        <w:pStyle w:val="ListBullet"/>
      </w:pPr>
      <w:r>
        <w:rPr>
          <w:b/>
        </w:rPr>
        <w:t xml:space="preserve">¿Cuándo se desarrollará? (Delimitación temporal): </w:t>
      </w:r>
      <w:r>
        <w:t>El período de tiempo del estudio (ej. segundo semestre del año 2026).</w:t>
      </w:r>
    </w:p>
    <w:p>
      <w:pPr>
        <w:pStyle w:val="ListBullet"/>
      </w:pPr>
      <w:r>
        <w:rPr>
          <w:b/>
        </w:rPr>
        <w:t xml:space="preserve">¿Para qué decisión servirá? (Decisión gerencial): </w:t>
      </w:r>
      <w:r>
        <w:t>La acción estratégica del negocio que será guiada por los datos cuantitativos hallados.</w:t>
      </w:r>
    </w:p>
    <w:p>
      <w:pPr>
        <w:pStyle w:val="Heading2"/>
      </w:pPr>
      <w:r>
        <w:t>2.2. Bloque 2: Objetivos de Investigación con Verbo de Datos (10 Minutos)</w:t>
      </w:r>
    </w:p>
    <w:p>
      <w:r>
        <w:t>Los objetivos de investigación definen de manera explícita qué información exacta aportará el estudio. Esta sección aborda las reglas y la clasificación de los verbos correctos para este fin:</w:t>
      </w:r>
    </w:p>
    <w:p>
      <w:pPr>
        <w:pStyle w:val="Heading3"/>
      </w:pPr>
      <w:r>
        <w:t>La Regla del Infinitivo Cognitivo</w:t>
      </w:r>
    </w:p>
    <w:p>
      <w:r>
        <w:t>Un objetivo de investigación de mercados es un enunciado de meta claro, inequívoco y conciso. En el ámbito cuantitativo, debe comenzar obligatoriamente con un único verbo en infinitivo que represente una acción cognitiva o de datos (conocer, describir, analizar), evitando de forma rigurosa los verbos que impliquen acciones directas de gestión comercial.</w:t>
      </w:r>
    </w:p>
    <w:p>
      <w:pPr>
        <w:pStyle w:val="Heading3"/>
      </w:pPr>
      <w:r>
        <w:t>Diferencia de Verbos: Medición frente a Acción Comercial</w:t>
      </w:r>
    </w:p>
    <w:p>
      <w:r>
        <w:t>Para asegurar el rigor científico del proyecto, se prohíbe el uso de verbos operativos del negocio dentro de la formulación de objetivos: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2F5496"/>
            <w:tcMar>
              <w:top w:w="120" w:type="dxa"/>
              <w:bottom w:w="120" w:type="dxa"/>
              <w:left w:w="150" w:type="dxa"/>
              <w:right w:w="150" w:type="dxa"/>
            </w:tcMar>
          </w:tcPr>
          <w:p>
            <w:pPr>
              <w:jc w:val="center"/>
            </w:pPr>
            <w:r>
              <w:rPr>
                <w:b/>
                <w:color w:val="FFFFFF"/>
              </w:rPr>
              <w:t>Verbos de Investigación Cuantitativa (CORRECTOS)</w:t>
            </w:r>
          </w:p>
        </w:tc>
        <w:tc>
          <w:tcPr>
            <w:tcW w:type="dxa" w:w="4680"/>
            <w:shd w:val="clear" w:color="auto" w:fill="2F5496"/>
            <w:tcMar>
              <w:top w:w="120" w:type="dxa"/>
              <w:bottom w:w="120" w:type="dxa"/>
              <w:left w:w="150" w:type="dxa"/>
              <w:right w:w="150" w:type="dxa"/>
            </w:tcMar>
          </w:tcPr>
          <w:p>
            <w:pPr>
              <w:jc w:val="center"/>
            </w:pPr>
            <w:r>
              <w:rPr>
                <w:b/>
                <w:color w:val="FFFFFF"/>
              </w:rPr>
              <w:t>Verbos de Acción Comercial / Gestión (INCORRECTOS para IM)</w:t>
            </w:r>
          </w:p>
        </w:tc>
      </w:tr>
      <w:tr>
        <w:tc>
          <w:tcPr>
            <w:tcW w:type="dxa" w:w="4680"/>
            <w:tcMar>
              <w:top w:w="100" w:type="dxa"/>
              <w:bottom w:w="100" w:type="dxa"/>
              <w:left w:w="150" w:type="dxa"/>
              <w:right w:w="150" w:type="dxa"/>
            </w:tcMar>
          </w:tcPr>
          <w:p>
            <w:r>
              <w:t>Determinar, Identificar, Medir, Comparar</w:t>
            </w:r>
          </w:p>
        </w:tc>
        <w:tc>
          <w:tcPr>
            <w:tcW w:type="dxa" w:w="4680"/>
            <w:tcMar>
              <w:top w:w="100" w:type="dxa"/>
              <w:bottom w:w="100" w:type="dxa"/>
              <w:left w:w="150" w:type="dxa"/>
              <w:right w:w="150" w:type="dxa"/>
            </w:tcMar>
          </w:tcPr>
          <w:p>
            <w:r>
              <w:t>Vender, Lanzar, Incrementar, Diseñar</w:t>
            </w:r>
          </w:p>
        </w:tc>
      </w:tr>
      <w:tr>
        <w:tc>
          <w:tcPr>
            <w:tcW w:type="dxa" w:w="4680"/>
            <w:tcMar>
              <w:top w:w="100" w:type="dxa"/>
              <w:bottom w:w="100" w:type="dxa"/>
              <w:left w:w="150" w:type="dxa"/>
              <w:right w:w="150" w:type="dxa"/>
            </w:tcMar>
          </w:tcPr>
          <w:p>
            <w:r>
              <w:t>Establecer, Describir, Evaluar, Analizar</w:t>
            </w:r>
          </w:p>
        </w:tc>
        <w:tc>
          <w:tcPr>
            <w:tcW w:type="dxa" w:w="4680"/>
            <w:tcMar>
              <w:top w:w="100" w:type="dxa"/>
              <w:bottom w:w="100" w:type="dxa"/>
              <w:left w:w="150" w:type="dxa"/>
              <w:right w:w="150" w:type="dxa"/>
            </w:tcMar>
          </w:tcPr>
          <w:p>
            <w:r>
              <w:t>Mejorar, Posicionar, Promocionar, Bajar</w:t>
            </w:r>
          </w:p>
        </w:tc>
      </w:tr>
      <w:tr>
        <w:tc>
          <w:tcPr>
            <w:tcW w:type="dxa" w:w="4680"/>
            <w:tcMar>
              <w:top w:w="100" w:type="dxa"/>
              <w:bottom w:w="100" w:type="dxa"/>
              <w:left w:w="150" w:type="dxa"/>
              <w:right w:w="150" w:type="dxa"/>
            </w:tcMar>
          </w:tcPr>
          <w:p>
            <w:r>
              <w:rPr>
                <w:i/>
              </w:rPr>
              <w:t>Se enfocan en generar datos, información y conocimiento.</w:t>
            </w:r>
          </w:p>
        </w:tc>
        <w:tc>
          <w:tcPr>
            <w:tcW w:type="dxa" w:w="4680"/>
            <w:tcMar>
              <w:top w:w="100" w:type="dxa"/>
              <w:bottom w:w="100" w:type="dxa"/>
              <w:left w:w="150" w:type="dxa"/>
              <w:right w:w="150" w:type="dxa"/>
            </w:tcMar>
          </w:tcPr>
          <w:p>
            <w:r>
              <w:rPr>
                <w:i/>
              </w:rPr>
              <w:t>Se enfocan en ejecutar decisiones operativas y de ventas.</w:t>
            </w:r>
          </w:p>
        </w:tc>
      </w:tr>
    </w:tbl>
    <w:p/>
    <w:p>
      <w:pPr>
        <w:pStyle w:val="Heading3"/>
      </w:pPr>
      <w:r>
        <w:t>Estructura Jerárquica del Mapa de Objetivos</w:t>
      </w:r>
    </w:p>
    <w:p>
      <w:r>
        <w:t>El diseño de objetivos del proyecto integrador se divide en dos niveles jerárquicos:</w:t>
      </w:r>
    </w:p>
    <w:p>
      <w:pPr>
        <w:pStyle w:val="ListBullet"/>
      </w:pPr>
      <w:r>
        <w:rPr>
          <w:b/>
        </w:rPr>
        <w:t xml:space="preserve">Objetivo General: </w:t>
      </w:r>
      <w:r>
        <w:t>Es el espejo del PIM. Expresa en un único enunciado global la meta de información que resolverá el problema general.</w:t>
      </w:r>
    </w:p>
    <w:p>
      <w:pPr>
        <w:pStyle w:val="ListBullet"/>
      </w:pPr>
      <w:r>
        <w:rPr>
          <w:b/>
        </w:rPr>
        <w:t xml:space="preserve">Objetivos Específicos (4 a 6): </w:t>
      </w:r>
      <w:r>
        <w:t>Son desgloses analíticos que atacan las dimensiones clave del comportamiento del consumidor y la oferta comercial: hábitos de compra, agrado de los atributos del producto, percepción de marcas competitivas y satisfacción.</w:t>
      </w:r>
    </w:p>
    <w:p>
      <w:pPr>
        <w:pStyle w:val="Heading2"/>
      </w:pPr>
      <w:r>
        <w:t>2.3. Bloque 3: Variable, Indicador y Escala (10 Minutos)</w:t>
      </w:r>
    </w:p>
    <w:p>
      <w:r>
        <w:t>Para que los datos recolectados puedan procesarse numéricamente en Jamovi o Excel, los constructos abstractos de marketing deben someterse a un riguroso proceso de operacionalización en tres niveles secuenciales:</w:t>
      </w:r>
    </w:p>
    <w:p>
      <w:pPr>
        <w:pStyle w:val="Heading3"/>
      </w:pPr>
      <w:r>
        <w:t>La Cadena de Operacionalización Cuantitativa</w:t>
      </w:r>
    </w:p>
    <w:p>
      <w:r>
        <w:rPr>
          <w:b/>
        </w:rPr>
        <w:t xml:space="preserve">1. Variable de Marketing: </w:t>
      </w:r>
      <w:r>
        <w:t>Es el constructo o dimensión abstracta que deseamos medir (ejemplo: la lealtad a la marca o la percepción del precio).</w:t>
        <w:br/>
      </w:r>
      <w:r>
        <w:rPr>
          <w:b/>
        </w:rPr>
        <w:t xml:space="preserve">2. Indicador (Pregunta de Campo): </w:t>
      </w:r>
      <w:r>
        <w:t>Es la manifestación observable o la pregunta específica que se incluirá en el cuestionario para registrar empíricamente la variable.</w:t>
        <w:br/>
      </w:r>
      <w:r>
        <w:rPr>
          <w:b/>
        </w:rPr>
        <w:t xml:space="preserve">3. Escala / Nivel de Medición: </w:t>
      </w:r>
      <w:r>
        <w:t>Es la regla matemática o formato bajo el cual se registrarán y codificarán las respuestas del encuestado para su procesamiento estadístico.</w:t>
      </w:r>
    </w:p>
    <w:p>
      <w:pPr>
        <w:pStyle w:val="Heading3"/>
      </w:pPr>
      <w:r>
        <w:t>Clasificación de Escalas y Niveles de Medición Básicos</w:t>
      </w:r>
    </w:p>
    <w:p>
      <w:r>
        <w:t>El investigador de mercados debe clasificar con precisión las escalas de datos del cuestionario en cuatro niveles:</w:t>
      </w:r>
    </w:p>
    <w:p>
      <w:pPr>
        <w:pStyle w:val="ListBullet"/>
      </w:pPr>
      <w:r>
        <w:rPr>
          <w:b/>
        </w:rPr>
        <w:t xml:space="preserve">Escala Nominal: </w:t>
      </w:r>
      <w:r>
        <w:t>Clasifica los datos en categorías mutuamente excluyentes sin ningún orden numérico o jerarquía (ej. Género: 1 = Masculino, 2 = Femenino; o Estado Civil).</w:t>
      </w:r>
    </w:p>
    <w:p>
      <w:pPr>
        <w:pStyle w:val="ListBullet"/>
      </w:pPr>
      <w:r>
        <w:rPr>
          <w:b/>
        </w:rPr>
        <w:t xml:space="preserve">Escala Ordinal: </w:t>
      </w:r>
      <w:r>
        <w:t>Establece un orden de rango o jerarquía entre las categorías de respuesta, pero la distancia matemática entre ellas no es uniforme o cuantificable (ej. Frecuencia de compra: 1 = Nunca, 2 = Ocasionalmente, 3 = Frecuentemente; o Nivel de estudios).</w:t>
      </w:r>
    </w:p>
    <w:p>
      <w:pPr>
        <w:pStyle w:val="ListBullet"/>
      </w:pPr>
      <w:r>
        <w:rPr>
          <w:b/>
        </w:rPr>
        <w:t xml:space="preserve">Escala de Intervalo: </w:t>
      </w:r>
      <w:r>
        <w:t>Posee distancias numéricas idénticas entre los puntos de la escala y el cero es de carácter arbitrario. Es el formato por excelencia de las escalas actitudinales (ej. Escalas Likert del 1 al 5; o el Diferencial Semántico del 1 al 7).</w:t>
      </w:r>
    </w:p>
    <w:p>
      <w:pPr>
        <w:pStyle w:val="ListBullet"/>
      </w:pPr>
      <w:r>
        <w:rPr>
          <w:b/>
        </w:rPr>
        <w:t xml:space="preserve">Escala de Razón: </w:t>
      </w:r>
      <w:r>
        <w:t>Posee todas las propiedades de las escalas anteriores, incorporando un cero absoluto real (ausencia de variable). Permite realizar cualquier cálculo aritmético y de proporciones (ej. Edad exacta en años, gasto mensual en soles, o volumen de mermas en porcentaje).</w:t>
      </w:r>
    </w:p>
    <w:p>
      <w:pPr>
        <w:pStyle w:val="Heading1"/>
      </w:pPr>
      <w:r>
        <w:t>3. CASO DE DEMOSTRACIÓN PRÁCTICA EN PIZARRA: "MISTI CACAO"</w:t>
      </w:r>
    </w:p>
    <w:p>
      <w:r>
        <w:t>Para ejemplificar la aplicación integrada de las tres microexplicaciones en el aula, el docente desarrollará paso a paso en la pizarra el caso real de la marca regional de chocolates premium "Misti Cacao".</w:t>
      </w:r>
    </w:p>
    <w:p>
      <w:pPr>
        <w:pStyle w:val="Heading2"/>
      </w:pPr>
      <w:r>
        <w:t>3.1. Contexto y Situación Problemática de Negocio</w:t>
      </w:r>
    </w:p>
    <w:p>
      <w:r>
        <w:rPr>
          <w:b w:val="0"/>
        </w:rPr>
        <w:t xml:space="preserve">Misti Cacao es una reconocida marca que produce y distribuye barras de chocolate premium artesanales elaboradas con cacao selecto. Recientemente, la gerencia de marketing ha detectado una incongruencia comercial crítica: el empaque actual del producto está hecho de plástico no reciclable, lo cual contradice abiertamente el discurso de posicionamiento ecológico, sostenible y eco-amigable que la marca difunde en su publicidad. Además de este problema de percepción de marca, el empaque actual es sumamente frágil y poco resistente, lo que genera un </w:t>
      </w:r>
      <w:r>
        <w:rPr>
          <w:b/>
        </w:rPr>
        <w:t xml:space="preserve">6.5% de merma (pérdida directa de inventario) debido a roturas constantes </w:t>
      </w:r>
      <w:r>
        <w:t>durante los procesos logísticos de transporte y exhibición en los puntos de venta. Ante esto, la empresa evalúa la posibilidad de lanzar al mercado un empaque biodegradable ecológico. Sin embargo, este cambio tecnológico de empaque incrementará los costos de fabricación, obligando a elevar ligeramente el precio final de venta al público. La gerencia teme que este ajuste de precios afecte la lealtad y recompra de sus clientes habituales.</w:t>
      </w:r>
    </w:p>
    <w:p>
      <w:pPr>
        <w:pStyle w:val="Heading2"/>
      </w:pPr>
      <w:r>
        <w:t>3.2. Formulación del Enfoque Metodológico de Investigación</w:t>
      </w:r>
    </w:p>
    <w:p>
      <w:r>
        <w:rPr>
          <w:b/>
        </w:rPr>
        <w:t>Problema de Decisión Gerencial (PDG):</w:t>
        <w:br/>
      </w:r>
      <w:r>
        <w:t>¿Se debe cambiar el empaque actual de Misti Cacao por una nueva propuesta de empaque biodegradable y ajustar el precio sugerido de venta al público?</w:t>
        <w:br/>
        <w:br/>
      </w:r>
      <w:r>
        <w:rPr>
          <w:b/>
        </w:rPr>
        <w:t>Problema de Investigación de Mercados (PIM) - Los 5 Pilares:</w:t>
        <w:br/>
      </w:r>
      <w:r>
        <w:t>• ¿Qué medir?: La importancia atribuida al empaque ecológico, la percepción de precio y su efecto sobre la frecuencia de recompra del consumidor.</w:t>
        <w:br/>
      </w:r>
      <w:r>
        <w:t>• ¿De quién?: Consumidores de chocolates de nivel socioeconómico medio-alto, hombres y mujeres de 18 a 45 años.</w:t>
        <w:br/>
      </w:r>
      <w:r>
        <w:t>• ¿Dónde?: Ciudad de Arequipa.</w:t>
        <w:br/>
      </w:r>
      <w:r>
        <w:t>• ¿Cuándo?: Segundo semestre del año 2026.</w:t>
        <w:br/>
      </w:r>
      <w:r>
        <w:t>• ¿Para qué?: Para evaluar la viabilidad de comercialización y aceptación del cambio de empaque biodegradable de Misti Cacao.</w:t>
        <w:br/>
        <w:br/>
      </w:r>
      <w:r>
        <w:rPr>
          <w:b/>
        </w:rPr>
        <w:t>Formulación del PIM en Pregunta Medible:</w:t>
        <w:br/>
      </w:r>
      <w:r>
        <w:t>¿Cómo influye la importancia asignada al empaque ecológico y la percepción del precio del menú de chocolates en la frecuencia de recompra de los consumidores de chocolate premium de 18 a 45 años en la ciudad de Arequipa durante el segundo semestre de 2026?</w:t>
      </w:r>
    </w:p>
    <w:p>
      <w:pPr>
        <w:pStyle w:val="Heading2"/>
      </w:pPr>
      <w:r>
        <w:t>3.3. Objetivos de Investigación Formulados</w:t>
      </w:r>
    </w:p>
    <w:p>
      <w:r>
        <w:rPr>
          <w:b/>
        </w:rPr>
        <w:t>Objetivo General (Espejo del PIM):</w:t>
        <w:br/>
      </w:r>
      <w:r>
        <w:t>Determinar la influencia de la importancia asignada al empaque ecológico y la percepción de precio sobre la frecuencia de recompra de los consumidores de chocolates premium de la marca Misti Cacao en la ciudad de Arequipa en el año 2026.</w:t>
        <w:br/>
        <w:br/>
      </w:r>
      <w:r>
        <w:rPr>
          <w:b/>
        </w:rPr>
        <w:t>Objetivos Específicos del Estudio:</w:t>
        <w:br/>
      </w:r>
    </w:p>
    <w:p>
      <w:pPr>
        <w:pStyle w:val="ListBullet"/>
      </w:pPr>
      <w:r>
        <w:rPr>
          <w:b/>
        </w:rPr>
        <w:t xml:space="preserve">Identificar </w:t>
      </w:r>
      <w:r>
        <w:t>los hábitos de compra y la frecuencia de recompra mensual de chocolates premium en el mercado objetivo.</w:t>
      </w:r>
    </w:p>
    <w:p>
      <w:pPr>
        <w:pStyle w:val="ListBullet"/>
      </w:pPr>
      <w:r>
        <w:rPr>
          <w:b/>
        </w:rPr>
        <w:t xml:space="preserve">Medir </w:t>
      </w:r>
      <w:r>
        <w:t>la importancia relativa y la valoración que el público objetivo asigna a la biodegradabilidad del empaque al comprar chocolates.</w:t>
      </w:r>
    </w:p>
    <w:p>
      <w:pPr>
        <w:pStyle w:val="ListBullet"/>
      </w:pPr>
      <w:r>
        <w:rPr>
          <w:b/>
        </w:rPr>
        <w:t xml:space="preserve">Evaluar </w:t>
      </w:r>
      <w:r>
        <w:t>la percepción de precio y la sensibilidad de compra de los consumidores frente a un incremento de precio justificado por el cambio de empaque.</w:t>
      </w:r>
    </w:p>
    <w:p>
      <w:pPr>
        <w:pStyle w:val="ListBullet"/>
      </w:pPr>
      <w:r>
        <w:rPr>
          <w:b/>
        </w:rPr>
        <w:t xml:space="preserve">Comparar </w:t>
      </w:r>
      <w:r>
        <w:t>la intención de recompra de chocolates entre el segmento de consumidores de alta conciencia ambiental y el de baja conciencia ambiental.</w:t>
      </w:r>
    </w:p>
    <w:p>
      <w:pPr>
        <w:pStyle w:val="Heading2"/>
      </w:pPr>
      <w:r>
        <w:t>3.4. Tabla de Operacionalización de Variables</w:t>
      </w:r>
    </w:p>
    <w:p>
      <w:r>
        <w:t>A continuación, se detalla la matriz técnica de operacionalización que define las variables del Caso Misti Cacao, lista para su modelamiento numérico en software estadístico: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2F5496"/>
            <w:tcMar>
              <w:top w:w="120" w:type="dxa"/>
              <w:bottom w:w="120" w:type="dxa"/>
              <w:left w:w="150" w:type="dxa"/>
              <w:right w:w="150" w:type="dxa"/>
            </w:tcMar>
          </w:tcPr>
          <w:p>
            <w:pPr>
              <w:jc w:val="center"/>
            </w:pPr>
            <w:r>
              <w:rPr>
                <w:b/>
                <w:color w:val="FFFFFF"/>
              </w:rPr>
              <w:t>Tipo de Variable</w:t>
            </w:r>
          </w:p>
        </w:tc>
        <w:tc>
          <w:tcPr>
            <w:tcW w:type="dxa" w:w="2160"/>
            <w:shd w:val="clear" w:color="auto" w:fill="2F5496"/>
            <w:tcMar>
              <w:top w:w="120" w:type="dxa"/>
              <w:bottom w:w="120" w:type="dxa"/>
              <w:left w:w="150" w:type="dxa"/>
              <w:right w:w="150" w:type="dxa"/>
            </w:tcMar>
          </w:tcPr>
          <w:p>
            <w:pPr>
              <w:jc w:val="center"/>
            </w:pPr>
            <w:r>
              <w:rPr>
                <w:b/>
                <w:color w:val="FFFFFF"/>
              </w:rPr>
              <w:t>Variable de Marketing</w:t>
            </w:r>
          </w:p>
        </w:tc>
        <w:tc>
          <w:tcPr>
            <w:tcW w:type="dxa" w:w="3240"/>
            <w:shd w:val="clear" w:color="auto" w:fill="2F5496"/>
            <w:tcMar>
              <w:top w:w="120" w:type="dxa"/>
              <w:bottom w:w="120" w:type="dxa"/>
              <w:left w:w="150" w:type="dxa"/>
              <w:right w:w="150" w:type="dxa"/>
            </w:tcMar>
          </w:tcPr>
          <w:p>
            <w:pPr>
              <w:jc w:val="center"/>
            </w:pPr>
            <w:r>
              <w:rPr>
                <w:b/>
                <w:color w:val="FFFFFF"/>
              </w:rPr>
              <w:t>Definición Operativa (Indicador / Pregunta)</w:t>
            </w:r>
          </w:p>
        </w:tc>
        <w:tc>
          <w:tcPr>
            <w:tcW w:type="dxa" w:w="2520"/>
            <w:shd w:val="clear" w:color="auto" w:fill="2F5496"/>
            <w:tcMar>
              <w:top w:w="120" w:type="dxa"/>
              <w:bottom w:w="120" w:type="dxa"/>
              <w:left w:w="150" w:type="dxa"/>
              <w:right w:w="150" w:type="dxa"/>
            </w:tcMar>
          </w:tcPr>
          <w:p>
            <w:pPr>
              <w:jc w:val="center"/>
            </w:pPr>
            <w:r>
              <w:rPr>
                <w:b/>
                <w:color w:val="FFFFFF"/>
              </w:rPr>
              <w:t>Nivel de Medición (Escala)</w:t>
            </w:r>
          </w:p>
        </w:tc>
      </w:tr>
      <w:tr>
        <w:tc>
          <w:tcPr>
            <w:tcW w:type="dxa" w:w="2160"/>
            <w:tcMar>
              <w:top w:w="100" w:type="dxa"/>
              <w:bottom w:w="100" w:type="dxa"/>
              <w:left w:w="150" w:type="dxa"/>
              <w:right w:w="150" w:type="dxa"/>
            </w:tcMar>
          </w:tcPr>
          <w:p>
            <w:r>
              <w:rPr>
                <w:b/>
              </w:rPr>
              <w:t>Variable Dependiente (VD)</w:t>
            </w:r>
          </w:p>
        </w:tc>
        <w:tc>
          <w:tcPr>
            <w:tcW w:type="dxa" w:w="2160"/>
            <w:tcMar>
              <w:top w:w="100" w:type="dxa"/>
              <w:bottom w:w="100" w:type="dxa"/>
              <w:left w:w="150" w:type="dxa"/>
              <w:right w:w="150" w:type="dxa"/>
            </w:tcMar>
          </w:tcPr>
          <w:p>
            <w:r>
              <w:t>Frecuencia de Recompra</w:t>
            </w:r>
          </w:p>
        </w:tc>
        <w:tc>
          <w:tcPr>
            <w:tcW w:type="dxa" w:w="3240"/>
            <w:tcMar>
              <w:top w:w="100" w:type="dxa"/>
              <w:bottom w:w="100" w:type="dxa"/>
              <w:left w:w="150" w:type="dxa"/>
              <w:right w:w="150" w:type="dxa"/>
            </w:tcMar>
          </w:tcPr>
          <w:p>
            <w:r>
              <w:t>Número de veces promedio que el encuestado adquiere una barra de Misti Cacao en el último mes (Pregunta directa abierta en el cuestionario).</w:t>
            </w:r>
          </w:p>
        </w:tc>
        <w:tc>
          <w:tcPr>
            <w:tcW w:type="dxa" w:w="2520"/>
            <w:tcMar>
              <w:top w:w="100" w:type="dxa"/>
              <w:bottom w:w="100" w:type="dxa"/>
              <w:left w:w="150" w:type="dxa"/>
              <w:right w:w="150" w:type="dxa"/>
            </w:tcMar>
          </w:tcPr>
          <w:p>
            <w:r>
              <w:t>Escala de Razón</w:t>
              <w:br/>
              <w:t>(Valor numérico exacto mayor o igual a cero).</w:t>
            </w:r>
          </w:p>
        </w:tc>
      </w:tr>
      <w:tr>
        <w:tc>
          <w:tcPr>
            <w:tcW w:type="dxa" w:w="2160"/>
            <w:tcMar>
              <w:top w:w="100" w:type="dxa"/>
              <w:bottom w:w="100" w:type="dxa"/>
              <w:left w:w="150" w:type="dxa"/>
              <w:right w:w="150" w:type="dxa"/>
            </w:tcMar>
          </w:tcPr>
          <w:p>
            <w:r>
              <w:rPr>
                <w:b/>
              </w:rPr>
              <w:t>Variable Independiente 1 (VI_1)</w:t>
            </w:r>
          </w:p>
        </w:tc>
        <w:tc>
          <w:tcPr>
            <w:tcW w:type="dxa" w:w="2160"/>
            <w:tcMar>
              <w:top w:w="100" w:type="dxa"/>
              <w:bottom w:w="100" w:type="dxa"/>
              <w:left w:w="150" w:type="dxa"/>
              <w:right w:w="150" w:type="dxa"/>
            </w:tcMar>
          </w:tcPr>
          <w:p>
            <w:r>
              <w:t>Importancia del Empaque Ecológico</w:t>
            </w:r>
          </w:p>
        </w:tc>
        <w:tc>
          <w:tcPr>
            <w:tcW w:type="dxa" w:w="3240"/>
            <w:tcMar>
              <w:top w:w="100" w:type="dxa"/>
              <w:bottom w:w="100" w:type="dxa"/>
              <w:left w:w="150" w:type="dxa"/>
              <w:right w:w="150" w:type="dxa"/>
            </w:tcMar>
          </w:tcPr>
          <w:p>
            <w:r>
              <w:t>Grado de acuerdo con la afirmación: "Para mí es indispensable que el empaque de mi chocolate premium sea 100% biodegradable y ecológico".</w:t>
            </w:r>
          </w:p>
        </w:tc>
        <w:tc>
          <w:tcPr>
            <w:tcW w:type="dxa" w:w="2520"/>
            <w:tcMar>
              <w:top w:w="100" w:type="dxa"/>
              <w:bottom w:w="100" w:type="dxa"/>
              <w:left w:w="150" w:type="dxa"/>
              <w:right w:w="150" w:type="dxa"/>
            </w:tcMar>
          </w:tcPr>
          <w:p>
            <w:r>
              <w:t>Escala de Intervalo</w:t>
              <w:br/>
              <w:t>(Escala Likert de 5 puntos: 1 = Muy en desacuerdo, 5 = Muy de acuerdo).</w:t>
            </w:r>
          </w:p>
        </w:tc>
      </w:tr>
      <w:tr>
        <w:tc>
          <w:tcPr>
            <w:tcW w:type="dxa" w:w="2160"/>
            <w:tcMar>
              <w:top w:w="100" w:type="dxa"/>
              <w:bottom w:w="100" w:type="dxa"/>
              <w:left w:w="150" w:type="dxa"/>
              <w:right w:w="150" w:type="dxa"/>
            </w:tcMar>
          </w:tcPr>
          <w:p>
            <w:r>
              <w:rPr>
                <w:b/>
              </w:rPr>
              <w:t>Variable Independiente 2 (VI_2)</w:t>
            </w:r>
          </w:p>
        </w:tc>
        <w:tc>
          <w:tcPr>
            <w:tcW w:type="dxa" w:w="2160"/>
            <w:tcMar>
              <w:top w:w="100" w:type="dxa"/>
              <w:bottom w:w="100" w:type="dxa"/>
              <w:left w:w="150" w:type="dxa"/>
              <w:right w:w="150" w:type="dxa"/>
            </w:tcMar>
          </w:tcPr>
          <w:p>
            <w:r>
              <w:t>Percepción del Precio</w:t>
            </w:r>
          </w:p>
        </w:tc>
        <w:tc>
          <w:tcPr>
            <w:tcW w:type="dxa" w:w="3240"/>
            <w:tcMar>
              <w:top w:w="100" w:type="dxa"/>
              <w:bottom w:w="100" w:type="dxa"/>
              <w:left w:w="150" w:type="dxa"/>
              <w:right w:w="150" w:type="dxa"/>
            </w:tcMar>
          </w:tcPr>
          <w:p>
            <w:r>
              <w:t>Evaluación valorativa del precio asignado: "Considero que el precio de venta actual de las barras de chocolate Misti Cacao es:"</w:t>
            </w:r>
          </w:p>
        </w:tc>
        <w:tc>
          <w:tcPr>
            <w:tcW w:type="dxa" w:w="2520"/>
            <w:tcMar>
              <w:top w:w="100" w:type="dxa"/>
              <w:bottom w:w="100" w:type="dxa"/>
              <w:left w:w="150" w:type="dxa"/>
              <w:right w:w="150" w:type="dxa"/>
            </w:tcMar>
          </w:tcPr>
          <w:p>
            <w:r>
              <w:t>Escala de Intervalo</w:t>
              <w:br/>
              <w:t>(Diferencial Semántico del 1 al 7: Muy barato [1] a Muy caro [7]).</w:t>
            </w:r>
          </w:p>
        </w:tc>
      </w:tr>
    </w:tbl>
    <w:p/>
    <w:p>
      <w:pPr>
        <w:pStyle w:val="Heading2"/>
      </w:pPr>
      <w:r>
        <w:t>3.5. Formulación de Hipótesis Científicas</w:t>
      </w:r>
    </w:p>
    <w:p>
      <w:r>
        <w:rPr>
          <w:b/>
        </w:rPr>
        <w:t>Hipótesis de Investigación Relacional (Ha):</w:t>
        <w:br/>
      </w:r>
      <w:r>
        <w:t>La importancia que el consumidor asigna a la biodegradabilidad del empaque influye de manera directa y positiva en la frecuencia de recompra mensual de chocolates premium Misti Cacao en la ciudad de Arequipa.</w:t>
        <w:br/>
        <w:br/>
      </w:r>
      <w:r>
        <w:rPr>
          <w:b/>
        </w:rPr>
        <w:t>Hipótesis de Inferencia Estadística de Diferencia de Medias (Prueba T de Student):</w:t>
        <w:br/>
      </w:r>
      <w:r>
        <w:rPr>
          <w:b/>
        </w:rPr>
        <w:t xml:space="preserve">• Hipótesis Nula (H0): </w:t>
      </w:r>
      <w:r>
        <w:t>La frecuencia promedio de recompra mensual de chocolates es idéntica entre los consumidores con alta conciencia ecológica y aquellos con baja conciencia ecológica (U1 = U2).</w:t>
        <w:br/>
      </w:r>
      <w:r>
        <w:rPr>
          <w:b/>
        </w:rPr>
        <w:t xml:space="preserve">• Hipótesis Alternativa (Ha): </w:t>
      </w:r>
      <w:r>
        <w:t>La frecuencia promedio de recompra mensual de chocolates es significativamente superior en los consumidores con alta conciencia ecológica en comparación con los de baja conciencia ecológica (U1 &gt; U2).</w:t>
      </w:r>
    </w:p>
    <w:p>
      <w:pPr>
        <w:pStyle w:val="Heading1"/>
      </w:pPr>
      <w:r>
        <w:t>4. ESTRUCTURA DE LOS ENTREGABLES QUE PRODUCE EL EQUIPO</w:t>
      </w:r>
    </w:p>
    <w:p>
      <w:r>
        <w:t>En esta sesión, los equipos de trabajo constituidos se reúnen de forma práctica y cooperativa para dar inicio formal al informe escrito de su proyecto final. Al finalizar el taller de aula, cada equipo debe dejar elaborado en su carpeta compartida el siguiente contenido metodológico de su propuesta de Innovación de Producto:</w:t>
      </w:r>
    </w:p>
    <w:p>
      <w:pPr>
        <w:pStyle w:val="ListNumber"/>
      </w:pPr>
      <w:r>
        <w:rPr>
          <w:b/>
        </w:rPr>
        <w:t xml:space="preserve">Definición de la Decisión Gerencial (PDG): </w:t>
      </w:r>
      <w:r>
        <w:t>La acción comercial estratégica que planea ejecutar el propietario o directivo de la marca ante el desafío planteado.</w:t>
      </w:r>
    </w:p>
    <w:p>
      <w:pPr>
        <w:pStyle w:val="ListNumber"/>
      </w:pPr>
      <w:r>
        <w:rPr>
          <w:b/>
        </w:rPr>
        <w:t xml:space="preserve">Descripción de la Situación Problemática: </w:t>
      </w:r>
      <w:r>
        <w:t>Breve narrativa explicativa de los síntomas visibles del negocio (caídas de venta, mermas, quejas) recopilados en el microentorno comercial.</w:t>
      </w:r>
    </w:p>
    <w:p>
      <w:pPr>
        <w:pStyle w:val="ListNumber"/>
      </w:pPr>
      <w:r>
        <w:rPr>
          <w:b/>
        </w:rPr>
        <w:t xml:space="preserve">Cuadro de Hechos frente a Supuestos: </w:t>
      </w:r>
      <w:r>
        <w:t>Separación entre los datos reales, históricos y empíricos ya verificados por fuentes secundarias (Hechos) frente a las simples presunciones, suposiciones o intuiciones iniciales del equipo (Supuestos).</w:t>
      </w:r>
    </w:p>
    <w:p>
      <w:pPr>
        <w:pStyle w:val="ListNumber"/>
      </w:pPr>
      <w:r>
        <w:rPr>
          <w:b/>
        </w:rPr>
        <w:t xml:space="preserve">Formulación del Problema Cuantitativo (PIM): </w:t>
      </w:r>
      <w:r>
        <w:t>Redacción definitiva de la pregunta de investigación de mercados, la cual debe integrar rigurosamente las cinco dimensiones limitantes (los 5 pilares).</w:t>
      </w:r>
    </w:p>
    <w:p>
      <w:pPr>
        <w:pStyle w:val="ListNumber"/>
      </w:pPr>
      <w:r>
        <w:rPr>
          <w:b/>
        </w:rPr>
        <w:t xml:space="preserve">Estructuración del Mapa de Objetivos: </w:t>
      </w:r>
      <w:r>
        <w:t>Planteamiento de un Objetivo General (espejo del problema cuantitativo) y de cuatro a seis Objetivos Específicos cognitivos que utilicen exclusivamente verbos de datos.</w:t>
      </w:r>
    </w:p>
    <w:p>
      <w:pPr>
        <w:pStyle w:val="ListNumber"/>
      </w:pPr>
      <w:r>
        <w:rPr>
          <w:b/>
        </w:rPr>
        <w:t xml:space="preserve">Cuadro Técnico de Operacionalización de Variables: </w:t>
      </w:r>
      <w:r>
        <w:t>Identificación explícita de su Variable Dependiente (VD), sus Variables Independientes (VI), la definición de su indicador observable (pregunta de campo sugerida) y el nivel de medición exacto (escala nominal, ordinal, intervalo o razón).</w:t>
      </w:r>
    </w:p>
    <w:p>
      <w:pPr>
        <w:pStyle w:val="ListNumber"/>
      </w:pPr>
      <w:r>
        <w:rPr>
          <w:b/>
        </w:rPr>
        <w:t xml:space="preserve">Formulación de Hipótesis: </w:t>
      </w:r>
      <w:r>
        <w:t>Enunciación clara de las proposiciones relacionales e inferenciales derivadas de sus objetivos específicos.</w:t>
      </w:r>
    </w:p>
    <w:p>
      <w:pPr>
        <w:pStyle w:val="ListNumber"/>
      </w:pPr>
      <w:r>
        <w:rPr>
          <w:b/>
        </w:rPr>
        <w:t xml:space="preserve">Matriz "Qué Necesito Saber" (Matriz de Consistencia): </w:t>
      </w:r>
      <w:r>
        <w:t>La construcción de la matriz de alineación metodológica (Objetivo ➔ Pregunta ➔ Variable ➔ Indicador) que define físicamente la estructura de los módulos temáticos que tendrá la encuesta online.</w:t>
      </w:r>
    </w:p>
    <w:p>
      <w:pPr>
        <w:pStyle w:val="Heading1"/>
      </w:pPr>
      <w:r>
        <w:t>5. FUENTES BIBLIOGRÁFICAS DE RESPALDO (ESTILO APA 7.ª EDICIÓN)</w:t>
      </w:r>
    </w:p>
    <w:p>
      <w:pPr>
        <w:spacing w:after="80"/>
        <w:ind w:left="720" w:hanging="720"/>
      </w:pPr>
      <w:r>
        <w:t>Malhotra, N. K. (2008). Definición del problema en la investigación de mercados y desarrollo del enfoque. En Investigación de mercados (5ª ed., pp. 34-64). Pearson Educación.</w:t>
      </w:r>
    </w:p>
    <w:p>
      <w:pPr>
        <w:spacing w:after="80"/>
        <w:ind w:left="720" w:hanging="720"/>
      </w:pPr>
      <w:r>
        <w:t>Malhotra, N. K. (2008). Medición y escalamiento: aspectos básicos y escalamiento comparativo. En Investigación de mercados (5ª ed., pp. 250-269). Pearson Educación.</w:t>
      </w:r>
    </w:p>
    <w:p>
      <w:pPr>
        <w:spacing w:after="80"/>
        <w:ind w:left="720" w:hanging="720"/>
      </w:pPr>
      <w:r>
        <w:t>McDaniel, C., &amp; Gates, R. (2016). Definición del problema, investigación exploratoria y el proceso de la investigación. En Investigación de mercados (10ª ed., pp. 26-64). Cengage Learning.</w:t>
      </w:r>
    </w:p>
    <w:p>
      <w:pPr>
        <w:spacing w:after="80"/>
        <w:ind w:left="720" w:hanging="720"/>
      </w:pPr>
      <w:r>
        <w:t>McDaniel, C., &amp; Gates, R. (2016). El concepto de medición y el diseño de cuestionarios. En Investigación de mercados (10ª ed., pp. 216-239). Cengage Learning.</w:t>
      </w:r>
    </w:p>
    <w:p>
      <w:pPr>
        <w:spacing w:after="80"/>
        <w:ind w:left="720" w:hanging="720"/>
      </w:pPr>
      <w:r>
        <w:t>Mita Arancibia, E. G. (2012). Formulación del problema de investigación de mercados. En Investigación de mercados (pp. 34-60). Sucre.</w:t>
      </w:r>
    </w:p>
    <w:p>
      <w:pPr>
        <w:spacing w:after="80"/>
        <w:ind w:left="720" w:hanging="720"/>
      </w:pPr>
      <w:r>
        <w:t>Mita Arancibia, E. G. (2012). Medición y escalas de medición. En Investigación de mercados (pp. 141-155). Sucre.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Guía Metodológica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Guía Metodológica de Investigación de Mercados | IES Thomas Jefferson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F7F7F"/>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F7F7F"/>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95959"/>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240"/>
      <w:jc w:val="center"/>
    </w:pPr>
    <w:rPr>
      <w:rFonts w:ascii="Calibri" w:hAnsi="Calibri"/>
      <w:b/>
      <w:color w:val="2F5496"/>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