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595959"/>
          <w:sz w:val="17"/>
          <w:szCs w:val="17"/>
        </w:rPr>
        <w:t xml:space="preserve">INVESTIGACIÓN CUANTITATIVA — PROGRAMA DE MARKETING — SEGUNDO CICLO — 2026-II</w:t>
      </w:r>
    </w:p>
    <w:p>
      <w:pPr>
        <w:spacing w:after="40"/>
        <w:jc w:val="center"/>
      </w:pPr>
      <w:r>
        <w:rPr>
          <w:rFonts w:ascii="Arial" w:cs="Arial" w:eastAsia="Arial" w:hAnsi="Arial"/>
          <w:b/>
          <w:bCs/>
          <w:color w:val="000000"/>
          <w:sz w:val="27"/>
          <w:szCs w:val="27"/>
        </w:rPr>
        <w:t xml:space="preserve">AVANCE DEL INFORME · EJEMPLO</w:t>
      </w:r>
    </w:p>
    <w:p>
      <w:pPr>
        <w:spacing w:after="160"/>
        <w:jc w:val="center"/>
      </w:pPr>
      <w:r>
        <w:rPr>
          <w:rFonts w:ascii="Arial" w:cs="Arial" w:eastAsia="Arial" w:hAnsi="Arial"/>
          <w:b/>
          <w:bCs/>
          <w:color w:val="000000"/>
          <w:sz w:val="20"/>
          <w:szCs w:val="20"/>
        </w:rPr>
        <w:t xml:space="preserve">PUNTO 2.2.1 REDACTADO · CASO SILLAR NATURAL E.I.R.L.</w:t>
      </w:r>
    </w:p>
    <w:p>
      <w:pPr>
        <w:pBdr>
          <w:left w:val="single" w:color="BF8F00" w:sz="18"/>
        </w:pBdr>
        <w:shd w:fill="FFF2CC" w:color="auto" w:val="clear"/>
        <w:spacing w:after="150" w:before="60" w:line="260"/>
        <w:ind w:left="120" w:right="120"/>
        <w:jc w:val="both"/>
      </w:pPr>
      <w:r>
        <w:rPr>
          <w:rFonts w:ascii="Arial" w:cs="Arial" w:eastAsia="Arial" w:hAnsi="Arial"/>
          <w:b/>
          <w:bCs/>
          <w:color w:val="7F6000"/>
          <w:sz w:val="18"/>
          <w:szCs w:val="18"/>
        </w:rPr>
        <w:t xml:space="preserve">CASO FICTICIO.  </w:t>
      </w:r>
      <w:r>
        <w:rPr>
          <w:rFonts w:ascii="Arial" w:cs="Arial" w:eastAsia="Arial" w:hAnsi="Arial"/>
          <w:b w:val="false"/>
          <w:bCs w:val="false"/>
          <w:color w:val="000000"/>
          <w:sz w:val="18"/>
          <w:szCs w:val="18"/>
        </w:rPr>
        <w:t xml:space="preserve">La empresa Sillar Natural E.I.R.L. no existe. Todos los datos de ventas, costos, recompra y fuentes de este documento son inventados con fines pedagógicos. Ningún equipo debe citarlos como evidencia real en su informe.</w:t>
      </w:r>
    </w:p>
    <w:p>
      <w:pPr>
        <w:spacing w:after="120" w:before="0" w:line="270"/>
        <w:jc w:val="both"/>
      </w:pPr>
      <w:r>
        <w:rPr>
          <w:rFonts w:ascii="Arial" w:cs="Arial" w:eastAsia="Arial" w:hAnsi="Arial"/>
          <w:b/>
          <w:bCs/>
          <w:color w:val="000000"/>
          <w:sz w:val="20"/>
          <w:szCs w:val="20"/>
        </w:rPr>
        <w:t xml:space="preserve">Para qué sirve este ejemplo. </w:t>
      </w:r>
      <w:r>
        <w:rPr>
          <w:rFonts w:ascii="Arial" w:cs="Arial" w:eastAsia="Arial" w:hAnsi="Arial"/>
          <w:b w:val="false"/>
          <w:bCs w:val="false"/>
          <w:color w:val="000000"/>
          <w:sz w:val="20"/>
          <w:szCs w:val="20"/>
        </w:rPr>
        <w:t xml:space="preserve">Muestra cómo se ve el punto 2.2.1 una vez redactado dentro del informe. Las mismas nueve tablas del laboratorio se convierten aquí en texto corrido: el informe no reproduce las matrices de trabajo, salvo la tabla de variables. Use la extensión, el orden y el tono como referencia.</w:t>
      </w:r>
    </w:p>
    <w:p>
      <w:pPr>
        <w:pBdr>
          <w:bottom w:val="single" w:color="000000" w:sz="8"/>
        </w:pBdr>
        <w:spacing w:after="130" w:before="280"/>
      </w:pPr>
      <w:r>
        <w:rPr>
          <w:rFonts w:ascii="Arial" w:cs="Arial" w:eastAsia="Arial" w:hAnsi="Arial"/>
          <w:b/>
          <w:bCs/>
          <w:color w:val="000000"/>
          <w:sz w:val="21"/>
          <w:szCs w:val="21"/>
        </w:rPr>
        <w:t xml:space="preserve">2.2.1. Planteamiento del problema, variables (dependientes e independientes) e hipótesis</w:t>
      </w:r>
    </w:p>
    <w:p>
      <w:pPr>
        <w:spacing w:after="120" w:before="0" w:line="270"/>
        <w:jc w:val="both"/>
      </w:pPr>
      <w:r>
        <w:rPr>
          <w:rFonts w:ascii="Arial" w:cs="Arial" w:eastAsia="Arial" w:hAnsi="Arial"/>
          <w:b w:val="false"/>
          <w:bCs w:val="false"/>
          <w:color w:val="000000"/>
          <w:sz w:val="20"/>
          <w:szCs w:val="20"/>
        </w:rPr>
        <w:t xml:space="preserve">Sillar Natural E.I.R.L. es una empresa arequipeña fundada en 2021 que produce y comercializa un shampoo natural de quinua y arcilla en presentación de 400 mililitros, con un precio de venta al público de S/ 28,00. Su distribución se apoya en doce tiendas naturistas de la ciudad y en la venta directa por redes sociales.</w:t>
      </w:r>
    </w:p>
    <w:p>
      <w:pPr>
        <w:spacing w:after="120" w:before="0" w:line="270"/>
        <w:jc w:val="both"/>
      </w:pPr>
      <w:r>
        <w:rPr>
          <w:rFonts w:ascii="Arial" w:cs="Arial" w:eastAsia="Arial" w:hAnsi="Arial"/>
          <w:b w:val="false"/>
          <w:bCs w:val="false"/>
          <w:color w:val="000000"/>
          <w:sz w:val="20"/>
          <w:szCs w:val="20"/>
        </w:rPr>
        <w:t xml:space="preserve">La empresa enfrenta un problema comercial que no se explica por la calidad del producto. Durante 2025 se vendieron 9 600 unidades y, de los 1 240 compradores identificados en el registro de clientes, únicamente 312 realizaron una segunda compra, lo que sitúa la tasa de recompra en 25,2 por ciento. Ese resultado contrasta con el sondeo interno aplicado a cuarenta clientes en diciembre de ese año, en el que el 68 por ciento calificó el producto como bueno o muy bueno. El producto satisface y, sin embargo, no se vuelve a comprar.</w:t>
      </w:r>
    </w:p>
    <w:p>
      <w:pPr>
        <w:spacing w:after="120" w:before="0" w:line="270"/>
        <w:jc w:val="both"/>
      </w:pPr>
      <w:r>
        <w:rPr>
          <w:rFonts w:ascii="Arial" w:cs="Arial" w:eastAsia="Arial" w:hAnsi="Arial"/>
          <w:b w:val="false"/>
          <w:bCs w:val="false"/>
          <w:color w:val="000000"/>
          <w:sz w:val="20"/>
          <w:szCs w:val="20"/>
        </w:rPr>
        <w:t xml:space="preserve">La gerencia ha formulado tres explicaciones posibles y no dispone de información para discriminar entre ellas: que el precio se percibe elevado frente a las alternativas industriales, que el rendimiento del envase no se percibe y por lo tanto el consumidor no reconoce lo que recibe por lo que paga, y que la marca no se recuerda en el momento de la reposición. A ello se suma una restricción de costos: el envase representa S/ 3,10 por unidad, equivalente al 18 por ciento del costo variable del producto.</w:t>
      </w:r>
    </w:p>
    <w:p>
      <w:pPr>
        <w:spacing w:after="120" w:before="0" w:line="270"/>
        <w:jc w:val="both"/>
      </w:pPr>
      <w:r>
        <w:rPr>
          <w:rFonts w:ascii="Arial" w:cs="Arial" w:eastAsia="Arial" w:hAnsi="Arial"/>
          <w:b w:val="false"/>
          <w:bCs w:val="false"/>
          <w:color w:val="000000"/>
          <w:sz w:val="20"/>
          <w:szCs w:val="20"/>
        </w:rPr>
        <w:t xml:space="preserve">En ese contexto, la empresa evalúa lanzar una presentación en barra sólida sin envase plástico, con un rendimiento equivalente a dos botellas y envoltura de papel, que reduciría simultáneamente el costo de envase y el residuo generado. La decisión gerencial que debe resolverse es si conviene lanzar dicha presentación y a qué precio, o si corresponde corregir primero el precio y la comunicación de la presentación líquida actual.</w:t>
      </w:r>
    </w:p>
    <w:p>
      <w:pPr>
        <w:spacing w:after="120" w:before="0" w:line="270"/>
        <w:jc w:val="both"/>
      </w:pPr>
      <w:r>
        <w:rPr>
          <w:rFonts w:ascii="Arial" w:cs="Arial" w:eastAsia="Arial" w:hAnsi="Arial"/>
          <w:b w:val="false"/>
          <w:bCs w:val="false"/>
          <w:color w:val="000000"/>
          <w:sz w:val="20"/>
          <w:szCs w:val="20"/>
        </w:rPr>
        <w:t xml:space="preserve">El problema de investigación se formula en los siguientes términos: ¿cuál es la frecuencia de recompra, el rendimiento percibido, la percepción del precio y la recordación de marca del shampoo natural, y cuál es la intención de compra y la disposición a pagar por una presentación sólida sin envase plástico, en los usuarios de shampoo de 18 a 45 años de Arequipa metropolitana durante setiembre de 2026, para decidir el lanzamiento de dicha presentación?</w:t>
      </w:r>
    </w:p>
    <w:p>
      <w:pPr>
        <w:spacing w:after="120" w:before="0" w:line="270"/>
        <w:jc w:val="both"/>
      </w:pPr>
      <w:r>
        <w:rPr>
          <w:rFonts w:ascii="Arial" w:cs="Arial" w:eastAsia="Arial" w:hAnsi="Arial"/>
          <w:b w:val="false"/>
          <w:bCs w:val="false"/>
          <w:color w:val="000000"/>
          <w:sz w:val="20"/>
          <w:szCs w:val="20"/>
        </w:rPr>
        <w:t xml:space="preserve">De este problema se desprende el siguiente objetivo general: determinar la frecuencia de recompra, el rendimiento percibido, la percepción del precio y la recordación de marca del shampoo natural, así como la intención de compra y la disposición a pagar por una presentación sólida sin envase plástico, en los usuarios de shampoo de 18 a 45 años de Arequipa metropolitana durante setiembre de 2026.</w:t>
      </w:r>
    </w:p>
    <w:p>
      <w:pPr>
        <w:spacing w:after="120" w:before="0" w:line="270"/>
        <w:jc w:val="both"/>
      </w:pPr>
      <w:r>
        <w:rPr>
          <w:rFonts w:ascii="Arial" w:cs="Arial" w:eastAsia="Arial" w:hAnsi="Arial"/>
          <w:b w:val="false"/>
          <w:bCs w:val="false"/>
          <w:color w:val="000000"/>
          <w:sz w:val="20"/>
          <w:szCs w:val="20"/>
        </w:rPr>
        <w:t xml:space="preserve">Los objetivos específicos se derivaron de las dimensiones que estructuran el estudio, de modo que cada uno responde a una dimensión distinta y ninguna queda sin medición:</w:t>
      </w:r>
    </w:p>
    <w:p>
      <w:pPr>
        <w:spacing w:after="60" w:before="0" w:line="270"/>
        <w:jc w:val="both"/>
      </w:pPr>
      <w:r>
        <w:rPr>
          <w:rFonts w:ascii="Arial" w:cs="Arial" w:eastAsia="Arial" w:hAnsi="Arial"/>
          <w:b/>
          <w:bCs/>
          <w:color w:val="000000"/>
          <w:sz w:val="20"/>
          <w:szCs w:val="20"/>
        </w:rPr>
        <w:t xml:space="preserve">OE1.   </w:t>
      </w:r>
      <w:r>
        <w:rPr>
          <w:rFonts w:ascii="Arial" w:cs="Arial" w:eastAsia="Arial" w:hAnsi="Arial"/>
          <w:b w:val="false"/>
          <w:bCs w:val="false"/>
          <w:color w:val="000000"/>
          <w:sz w:val="20"/>
          <w:szCs w:val="20"/>
        </w:rPr>
        <w:t xml:space="preserve">Identificar el perfil y la frecuencia de uso de shampoo de los usuarios de 18 a 45 años de Arequipa metropolitana, durante setiembre de 2026, correspondiente a la dimensión de segmentación.</w:t>
      </w:r>
    </w:p>
    <w:p>
      <w:pPr>
        <w:spacing w:after="60" w:before="0" w:line="270"/>
        <w:jc w:val="both"/>
      </w:pPr>
      <w:r>
        <w:rPr>
          <w:rFonts w:ascii="Arial" w:cs="Arial" w:eastAsia="Arial" w:hAnsi="Arial"/>
          <w:b/>
          <w:bCs/>
          <w:color w:val="000000"/>
          <w:sz w:val="20"/>
          <w:szCs w:val="20"/>
        </w:rPr>
        <w:t xml:space="preserve">OE2.   </w:t>
      </w:r>
      <w:r>
        <w:rPr>
          <w:rFonts w:ascii="Arial" w:cs="Arial" w:eastAsia="Arial" w:hAnsi="Arial"/>
          <w:b w:val="false"/>
          <w:bCs w:val="false"/>
          <w:color w:val="000000"/>
          <w:sz w:val="20"/>
          <w:szCs w:val="20"/>
        </w:rPr>
        <w:t xml:space="preserve">Establecer la frecuencia de recompra, el lugar de compra y el gasto mensual en shampoo en dicho segmento, correspondiente a la dimensión de comportamiento de compra.</w:t>
      </w:r>
    </w:p>
    <w:p>
      <w:pPr>
        <w:spacing w:after="60" w:before="0" w:line="270"/>
        <w:jc w:val="both"/>
      </w:pPr>
      <w:r>
        <w:rPr>
          <w:rFonts w:ascii="Arial" w:cs="Arial" w:eastAsia="Arial" w:hAnsi="Arial"/>
          <w:b/>
          <w:bCs/>
          <w:color w:val="000000"/>
          <w:sz w:val="20"/>
          <w:szCs w:val="20"/>
        </w:rPr>
        <w:t xml:space="preserve">OE3.   </w:t>
      </w:r>
      <w:r>
        <w:rPr>
          <w:rFonts w:ascii="Arial" w:cs="Arial" w:eastAsia="Arial" w:hAnsi="Arial"/>
          <w:b w:val="false"/>
          <w:bCs w:val="false"/>
          <w:color w:val="000000"/>
          <w:sz w:val="20"/>
          <w:szCs w:val="20"/>
        </w:rPr>
        <w:t xml:space="preserve">Evaluar la percepción de los atributos y el rendimiento percibido del shampoo natural que el usuario emplea actualmente, correspondiente a la dimensión de producto.</w:t>
      </w:r>
    </w:p>
    <w:p>
      <w:pPr>
        <w:spacing w:after="60" w:before="0" w:line="270"/>
        <w:jc w:val="both"/>
      </w:pPr>
      <w:r>
        <w:rPr>
          <w:rFonts w:ascii="Arial" w:cs="Arial" w:eastAsia="Arial" w:hAnsi="Arial"/>
          <w:b/>
          <w:bCs/>
          <w:color w:val="000000"/>
          <w:sz w:val="20"/>
          <w:szCs w:val="20"/>
        </w:rPr>
        <w:t xml:space="preserve">OE4.   </w:t>
      </w:r>
      <w:r>
        <w:rPr>
          <w:rFonts w:ascii="Arial" w:cs="Arial" w:eastAsia="Arial" w:hAnsi="Arial"/>
          <w:b w:val="false"/>
          <w:bCs w:val="false"/>
          <w:color w:val="000000"/>
          <w:sz w:val="20"/>
          <w:szCs w:val="20"/>
        </w:rPr>
        <w:t xml:space="preserve">Determinar la percepción del precio del shampoo natural y la disposición a pagar por la presentación sólida, correspondiente a la dimensión de precio.</w:t>
      </w:r>
    </w:p>
    <w:p>
      <w:pPr>
        <w:spacing w:after="60" w:before="0" w:line="270"/>
        <w:jc w:val="both"/>
      </w:pPr>
      <w:r>
        <w:rPr>
          <w:rFonts w:ascii="Arial" w:cs="Arial" w:eastAsia="Arial" w:hAnsi="Arial"/>
          <w:b/>
          <w:bCs/>
          <w:color w:val="000000"/>
          <w:sz w:val="20"/>
          <w:szCs w:val="20"/>
        </w:rPr>
        <w:t xml:space="preserve">OE5.   </w:t>
      </w:r>
      <w:r>
        <w:rPr>
          <w:rFonts w:ascii="Arial" w:cs="Arial" w:eastAsia="Arial" w:hAnsi="Arial"/>
          <w:b w:val="false"/>
          <w:bCs w:val="false"/>
          <w:color w:val="000000"/>
          <w:sz w:val="20"/>
          <w:szCs w:val="20"/>
        </w:rPr>
        <w:t xml:space="preserve">Determinar el nivel de recordación y los atributos asociados a las marcas de shampoo natural presentes en el mercado local, correspondiente a la dimensión de imagen y marca.</w:t>
      </w:r>
    </w:p>
    <w:p>
      <w:pPr>
        <w:spacing w:after="120" w:before="0" w:line="270"/>
        <w:jc w:val="both"/>
      </w:pPr>
      <w:r>
        <w:rPr>
          <w:rFonts w:ascii="Arial" w:cs="Arial" w:eastAsia="Arial" w:hAnsi="Arial"/>
          <w:b/>
          <w:bCs/>
          <w:color w:val="000000"/>
          <w:sz w:val="20"/>
          <w:szCs w:val="20"/>
        </w:rPr>
        <w:t xml:space="preserve">OE6.   </w:t>
      </w:r>
      <w:r>
        <w:rPr>
          <w:rFonts w:ascii="Arial" w:cs="Arial" w:eastAsia="Arial" w:hAnsi="Arial"/>
          <w:b w:val="false"/>
          <w:bCs w:val="false"/>
          <w:color w:val="000000"/>
          <w:sz w:val="20"/>
          <w:szCs w:val="20"/>
        </w:rPr>
        <w:t xml:space="preserve">Medir la intención de compra de la presentación sólida sin envase plástico en los próximos tres meses, correspondiente a la dimensión de demanda potencial.</w:t>
      </w:r>
    </w:p>
    <w:p>
      <w:pPr>
        <w:spacing w:after="120" w:before="0" w:line="270"/>
        <w:jc w:val="both"/>
      </w:pPr>
      <w:r>
        <w:rPr>
          <w:rFonts w:ascii="Arial" w:cs="Arial" w:eastAsia="Arial" w:hAnsi="Arial"/>
          <w:b w:val="false"/>
          <w:bCs w:val="false"/>
          <w:color w:val="000000"/>
          <w:sz w:val="20"/>
          <w:szCs w:val="20"/>
        </w:rPr>
        <w:t xml:space="preserve">El estudio considera una variable dependiente y siete variables independientes. La variable dependiente es la intención de compra de la presentación sólida, entendida como la probabilidad declarada de adquirirla en los próximos tres meses. Las variables independientes recogen los factores que podrían explicarla y se operacionalizan del modo que muestra la tabla siguiente.</w:t>
      </w:r>
    </w:p>
    <w:p>
      <w:pPr>
        <w:spacing w:after="60" w:before="80" w:line="270"/>
        <w:jc w:val="both"/>
      </w:pPr>
      <w:r>
        <w:rPr>
          <w:rFonts w:ascii="Arial" w:cs="Arial" w:eastAsia="Arial" w:hAnsi="Arial"/>
          <w:b/>
          <w:bCs/>
          <w:color w:val="000000"/>
          <w:sz w:val="18"/>
          <w:szCs w:val="18"/>
        </w:rPr>
        <w:t xml:space="preserve">Tabla 4. Variables de estudio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1500"/>
        <w:gridCol w:w="2700"/>
        <w:gridCol w:w="1900"/>
      </w:tblGrid>
      <w:tr>
        <w:trPr>
          <w:tblHeader/>
        </w:trPr>
        <w:tc>
          <w:tcPr>
            <w:tcW w:type="dxa" w:w="10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Tipo</w:t>
            </w:r>
          </w:p>
        </w:tc>
        <w:tc>
          <w:tcPr>
            <w:tcW w:type="dxa" w:w="19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Variable</w:t>
            </w:r>
          </w:p>
        </w:tc>
        <w:tc>
          <w:tcPr>
            <w:tcW w:type="dxa" w:w="15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Dimensión</w:t>
            </w:r>
          </w:p>
        </w:tc>
        <w:tc>
          <w:tcPr>
            <w:tcW w:type="dxa" w:w="27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Indicador</w:t>
            </w:r>
          </w:p>
        </w:tc>
        <w:tc>
          <w:tcPr>
            <w:tcW w:type="dxa" w:w="19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Nivel de medición</w:t>
            </w:r>
          </w:p>
        </w:tc>
      </w:tr>
      <w:tr>
        <w:tc>
          <w:tcPr>
            <w:tcW w:type="dxa" w:w="10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VD</w:t>
            </w:r>
          </w:p>
        </w:tc>
        <w:tc>
          <w:tcPr>
            <w:tcW w:type="dxa" w:w="19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Intención de compra de la barra</w:t>
            </w:r>
          </w:p>
        </w:tc>
        <w:tc>
          <w:tcPr>
            <w:tcW w:type="dxa" w:w="15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Demanda potencial</w:t>
            </w:r>
          </w:p>
        </w:tc>
        <w:tc>
          <w:tcPr>
            <w:tcW w:type="dxa" w:w="27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Probabilidad declarada de compra en los próximos tres meses</w:t>
            </w:r>
          </w:p>
        </w:tc>
        <w:tc>
          <w:tcPr>
            <w:tcW w:type="dxa" w:w="19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Intervalo. Escala de 5 puntos</w:t>
            </w:r>
          </w:p>
        </w:tc>
      </w:tr>
      <w:tr>
        <w:tc>
          <w:tcPr>
            <w:tcW w:type="dxa" w:w="10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VI 1</w:t>
            </w:r>
          </w:p>
        </w:tc>
        <w:tc>
          <w:tcPr>
            <w:tcW w:type="dxa" w:w="19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Frecuencia de recompra</w:t>
            </w:r>
          </w:p>
        </w:tc>
        <w:tc>
          <w:tcPr>
            <w:tcW w:type="dxa" w:w="15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Comportamiento de compra</w:t>
            </w:r>
          </w:p>
        </w:tc>
        <w:tc>
          <w:tcPr>
            <w:tcW w:type="dxa" w:w="27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Compras de shampoo natural en los últimos seis meses</w:t>
            </w:r>
          </w:p>
        </w:tc>
        <w:tc>
          <w:tcPr>
            <w:tcW w:type="dxa" w:w="19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Razón</w:t>
            </w:r>
          </w:p>
        </w:tc>
      </w:tr>
      <w:tr>
        <w:tc>
          <w:tcPr>
            <w:tcW w:type="dxa" w:w="10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VI 2</w:t>
            </w:r>
          </w:p>
        </w:tc>
        <w:tc>
          <w:tcPr>
            <w:tcW w:type="dxa" w:w="19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Rendimiento percibido</w:t>
            </w:r>
          </w:p>
        </w:tc>
        <w:tc>
          <w:tcPr>
            <w:tcW w:type="dxa" w:w="15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Producto</w:t>
            </w:r>
          </w:p>
        </w:tc>
        <w:tc>
          <w:tcPr>
            <w:tcW w:type="dxa" w:w="27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Acuerdo con que el envase rinde lo esperado por lo pagado</w:t>
            </w:r>
          </w:p>
        </w:tc>
        <w:tc>
          <w:tcPr>
            <w:tcW w:type="dxa" w:w="19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Intervalo. Likert de 5 puntos</w:t>
            </w:r>
          </w:p>
        </w:tc>
      </w:tr>
      <w:tr>
        <w:tc>
          <w:tcPr>
            <w:tcW w:type="dxa" w:w="10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VI 3</w:t>
            </w:r>
          </w:p>
        </w:tc>
        <w:tc>
          <w:tcPr>
            <w:tcW w:type="dxa" w:w="19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Percepción del precio</w:t>
            </w:r>
          </w:p>
        </w:tc>
        <w:tc>
          <w:tcPr>
            <w:tcW w:type="dxa" w:w="15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Precio</w:t>
            </w:r>
          </w:p>
        </w:tc>
        <w:tc>
          <w:tcPr>
            <w:tcW w:type="dxa" w:w="27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Evaluación del precio del producto actual</w:t>
            </w:r>
          </w:p>
        </w:tc>
        <w:tc>
          <w:tcPr>
            <w:tcW w:type="dxa" w:w="19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Intervalo. Diferencial semántico de 1 a 7</w:t>
            </w:r>
          </w:p>
        </w:tc>
      </w:tr>
      <w:tr>
        <w:tc>
          <w:tcPr>
            <w:tcW w:type="dxa" w:w="10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VI 4</w:t>
            </w:r>
          </w:p>
        </w:tc>
        <w:tc>
          <w:tcPr>
            <w:tcW w:type="dxa" w:w="19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Recordación de marca</w:t>
            </w:r>
          </w:p>
        </w:tc>
        <w:tc>
          <w:tcPr>
            <w:tcW w:type="dxa" w:w="15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Imagen y marca</w:t>
            </w:r>
          </w:p>
        </w:tc>
        <w:tc>
          <w:tcPr>
            <w:tcW w:type="dxa" w:w="27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Primera marca mencionada sin ayuda</w:t>
            </w:r>
          </w:p>
        </w:tc>
        <w:tc>
          <w:tcPr>
            <w:tcW w:type="dxa" w:w="19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Nominal</w:t>
            </w:r>
          </w:p>
        </w:tc>
      </w:tr>
      <w:tr>
        <w:tc>
          <w:tcPr>
            <w:tcW w:type="dxa" w:w="10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VI 5</w:t>
            </w:r>
          </w:p>
        </w:tc>
        <w:tc>
          <w:tcPr>
            <w:tcW w:type="dxa" w:w="19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Disposición a pagar por la barra</w:t>
            </w:r>
          </w:p>
        </w:tc>
        <w:tc>
          <w:tcPr>
            <w:tcW w:type="dxa" w:w="15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Precio</w:t>
            </w:r>
          </w:p>
        </w:tc>
        <w:tc>
          <w:tcPr>
            <w:tcW w:type="dxa" w:w="27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Rango de precio declarado para la presentación sólida</w:t>
            </w:r>
          </w:p>
        </w:tc>
        <w:tc>
          <w:tcPr>
            <w:tcW w:type="dxa" w:w="19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Razón. Rangos en soles</w:t>
            </w:r>
          </w:p>
        </w:tc>
      </w:tr>
      <w:tr>
        <w:tc>
          <w:tcPr>
            <w:tcW w:type="dxa" w:w="10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VI 6</w:t>
            </w:r>
          </w:p>
        </w:tc>
        <w:tc>
          <w:tcPr>
            <w:tcW w:type="dxa" w:w="19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Importancia del envase sin plástico</w:t>
            </w:r>
          </w:p>
        </w:tc>
        <w:tc>
          <w:tcPr>
            <w:tcW w:type="dxa" w:w="15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Producto</w:t>
            </w:r>
          </w:p>
        </w:tc>
        <w:tc>
          <w:tcPr>
            <w:tcW w:type="dxa" w:w="27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Acuerdo con la relevancia de no usar envase plástico</w:t>
            </w:r>
          </w:p>
        </w:tc>
        <w:tc>
          <w:tcPr>
            <w:tcW w:type="dxa" w:w="19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Intervalo. Likert de 5 puntos</w:t>
            </w:r>
          </w:p>
        </w:tc>
      </w:tr>
      <w:tr>
        <w:tc>
          <w:tcPr>
            <w:tcW w:type="dxa" w:w="10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VI 7</w:t>
            </w:r>
          </w:p>
        </w:tc>
        <w:tc>
          <w:tcPr>
            <w:tcW w:type="dxa" w:w="19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Lugar de compra habitual</w:t>
            </w:r>
          </w:p>
        </w:tc>
        <w:tc>
          <w:tcPr>
            <w:tcW w:type="dxa" w:w="15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Comportamiento de compra</w:t>
            </w:r>
          </w:p>
        </w:tc>
        <w:tc>
          <w:tcPr>
            <w:tcW w:type="dxa" w:w="27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Establecimiento de compra habitual</w:t>
            </w:r>
          </w:p>
        </w:tc>
        <w:tc>
          <w:tcPr>
            <w:tcW w:type="dxa" w:w="19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Nominal</w:t>
            </w:r>
          </w:p>
        </w:tc>
      </w:tr>
    </w:tbl>
    <w:p>
      <w:pPr>
        <w:spacing w:after="120" w:before="60" w:line="270"/>
        <w:jc w:val="both"/>
      </w:pPr>
      <w:r>
        <w:rPr>
          <w:rFonts w:ascii="Arial" w:cs="Arial" w:eastAsia="Arial" w:hAnsi="Arial"/>
          <w:b w:val="false"/>
          <w:bCs w:val="false"/>
          <w:color w:val="000000"/>
          <w:sz w:val="16"/>
          <w:szCs w:val="16"/>
        </w:rPr>
        <w:t xml:space="preserve">Nota. Elaboración propia sobre la base del registro de clientes y de la estructura de costos de la empresa, 2025.</w:t>
      </w:r>
    </w:p>
    <w:p>
      <w:pPr>
        <w:spacing w:after="120" w:before="120" w:line="270"/>
        <w:jc w:val="both"/>
      </w:pPr>
      <w:r>
        <w:rPr>
          <w:rFonts w:ascii="Arial" w:cs="Arial" w:eastAsia="Arial" w:hAnsi="Arial"/>
          <w:b w:val="false"/>
          <w:bCs w:val="false"/>
          <w:color w:val="000000"/>
          <w:sz w:val="20"/>
          <w:szCs w:val="20"/>
        </w:rPr>
        <w:t xml:space="preserve">A partir de estas variables se formularon las hipótesis del estudio. La hipótesis de investigación sostiene que el rendimiento percibido influye de manera directa y positiva en la frecuencia de recompra del shampoo natural, en los usuarios de 18 a 45 años de Arequipa metropolitana durante setiembre de 2026. Para su contraste se plantea la hipótesis nula, según la cual la frecuencia promedio de recompra es idéntica entre los usuarios que perciben alto rendimiento y los que perciben bajo rendimiento, frente a la hipótesis alternativa, que afirma que dicha frecuencia es significativamente superior en el primer grupo. El contraste se realizará mediante la prueba T de Student para muestras independientes.</w:t>
      </w:r>
    </w:p>
    <w:p>
      <w:pPr>
        <w:spacing w:after="120" w:before="0" w:line="270"/>
        <w:jc w:val="both"/>
      </w:pPr>
      <w:r>
        <w:rPr>
          <w:rFonts w:ascii="Arial" w:cs="Arial" w:eastAsia="Arial" w:hAnsi="Arial"/>
          <w:b w:val="false"/>
          <w:bCs w:val="false"/>
          <w:color w:val="000000"/>
          <w:sz w:val="20"/>
          <w:szCs w:val="20"/>
        </w:rPr>
        <w:t xml:space="preserve">De manera complementaria se plantea una segunda hipótesis nula, según la cual la intención de compra de la presentación sólida es independiente de la importancia que el usuario asigna al envase sin plástico, frente a la hipótesis alternativa que afirma la existencia de relación entre ambas variables. Dado que las dos variables se analizarán en categorías, el contraste se realizará mediante la prueba de Ji-cuadrada de independencia.</w:t>
      </w:r>
    </w:p>
    <w:p>
      <w:pPr>
        <w:spacing w:after="120" w:before="0" w:line="270"/>
        <w:jc w:val="both"/>
      </w:pPr>
      <w:r>
        <w:rPr>
          <w:rFonts w:ascii="Arial" w:cs="Arial" w:eastAsia="Arial" w:hAnsi="Arial"/>
          <w:b w:val="false"/>
          <w:bCs w:val="false"/>
          <w:color w:val="000000"/>
          <w:sz w:val="20"/>
          <w:szCs w:val="20"/>
        </w:rPr>
        <w:t xml:space="preserve">Ambas hipótesis fueron construidas a partir de las explicaciones que la gerencia formuló como supuestos, de modo que cada sospecha inicial queda sometida a verificación empírica y ninguna se incorpora al informe sin contraste.</w:t>
      </w:r>
    </w:p>
    <w:p>
      <w:pPr>
        <w:pBdr>
          <w:bottom w:val="single" w:color="000000" w:sz="8"/>
        </w:pBdr>
        <w:spacing w:after="130" w:before="280"/>
      </w:pPr>
      <w:r>
        <w:rPr>
          <w:rFonts w:ascii="Arial" w:cs="Arial" w:eastAsia="Arial" w:hAnsi="Arial"/>
          <w:b/>
          <w:bCs/>
          <w:color w:val="000000"/>
          <w:sz w:val="21"/>
          <w:szCs w:val="21"/>
        </w:rPr>
        <w:t xml:space="preserve">QUÉ CAMBIÓ ENTRE EL LABORATORIO Y EL INFORME</w:t>
      </w:r>
    </w:p>
    <w:p>
      <w:pPr>
        <w:spacing w:after="120" w:before="0" w:line="270"/>
        <w:jc w:val="both"/>
      </w:pPr>
      <w:r>
        <w:rPr>
          <w:rFonts w:ascii="Arial" w:cs="Arial" w:eastAsia="Arial" w:hAnsi="Arial"/>
          <w:b w:val="false"/>
          <w:bCs w:val="false"/>
          <w:color w:val="000000"/>
          <w:sz w:val="20"/>
          <w:szCs w:val="20"/>
        </w:rPr>
        <w:t xml:space="preserve">Las nueve tablas del laboratorio no se copiaron. En el informe permanece una sola tabla, la de variables, porque es la que el lector necesita consultar como referencia mientras avanza. Todo lo demás se convirtió en párrafos.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Tabla del laboratorio</w:t>
            </w:r>
          </w:p>
        </w:tc>
        <w:tc>
          <w:tcPr>
            <w:tcW w:type="dxa" w:w="64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Dónde quedó en el informe</w:t>
            </w:r>
          </w:p>
        </w:tc>
      </w:tr>
      <w:tr>
        <w:tc>
          <w:tcPr>
            <w:tcW w:type="dxa" w:w="26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Tabla 1. Ficha del caso</w:t>
            </w:r>
          </w:p>
        </w:tc>
        <w:tc>
          <w:tcPr>
            <w:tcW w:type="dxa" w:w="64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Primer párrafo, como presentación de la empresa</w:t>
            </w:r>
          </w:p>
        </w:tc>
      </w:tr>
      <w:tr>
        <w:tc>
          <w:tcPr>
            <w:tcW w:type="dxa" w:w="26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Tabla 2. Hechos y supuestos</w:t>
            </w:r>
          </w:p>
        </w:tc>
        <w:tc>
          <w:tcPr>
            <w:tcW w:type="dxa" w:w="64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Segundo y tercer párrafo, como evidencia y como explicaciones por verificar</w:t>
            </w:r>
          </w:p>
        </w:tc>
      </w:tr>
      <w:tr>
        <w:tc>
          <w:tcPr>
            <w:tcW w:type="dxa" w:w="26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Tabla 3. Los cinco pilares</w:t>
            </w:r>
          </w:p>
        </w:tc>
        <w:tc>
          <w:tcPr>
            <w:tcW w:type="dxa" w:w="64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Disueltos dentro de la redacción del problema, no enumerados</w:t>
            </w:r>
          </w:p>
        </w:tc>
      </w:tr>
      <w:tr>
        <w:tc>
          <w:tcPr>
            <w:tcW w:type="dxa" w:w="26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Tabla 4. Anatomía del objetivo</w:t>
            </w:r>
          </w:p>
        </w:tc>
        <w:tc>
          <w:tcPr>
            <w:tcW w:type="dxa" w:w="64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No aparece. Es una herramienta de redacción, no contenido del informe</w:t>
            </w:r>
          </w:p>
        </w:tc>
      </w:tr>
      <w:tr>
        <w:tc>
          <w:tcPr>
            <w:tcW w:type="dxa" w:w="26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Tabla 5. Dimensiones y objetivos</w:t>
            </w:r>
          </w:p>
        </w:tc>
        <w:tc>
          <w:tcPr>
            <w:tcW w:type="dxa" w:w="64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Lista numerada de objetivos, con la dimensión mencionada al final de cada uno</w:t>
            </w:r>
          </w:p>
        </w:tc>
      </w:tr>
      <w:tr>
        <w:tc>
          <w:tcPr>
            <w:tcW w:type="dxa" w:w="26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Tabla 6. Operacionalización</w:t>
            </w:r>
          </w:p>
        </w:tc>
        <w:tc>
          <w:tcPr>
            <w:tcW w:type="dxa" w:w="64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Tabla 4 del informe, la única que se conserva</w:t>
            </w:r>
          </w:p>
        </w:tc>
      </w:tr>
      <w:tr>
        <w:tc>
          <w:tcPr>
            <w:tcW w:type="dxa" w:w="26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Tabla 7. Hipótesis</w:t>
            </w:r>
          </w:p>
        </w:tc>
        <w:tc>
          <w:tcPr>
            <w:tcW w:type="dxa" w:w="64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Dos párrafos finales</w:t>
            </w:r>
          </w:p>
        </w:tc>
      </w:tr>
      <w:tr>
        <w:tc>
          <w:tcPr>
            <w:tcW w:type="dxa" w:w="26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Tabla 8. Matriz de consistencia</w:t>
            </w:r>
          </w:p>
        </w:tc>
        <w:tc>
          <w:tcPr>
            <w:tcW w:type="dxa" w:w="64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No aparece. Es el plano del cuestionario y se refleja en el punto 2.2.3</w:t>
            </w:r>
          </w:p>
        </w:tc>
      </w:tr>
      <w:tr>
        <w:tc>
          <w:tcPr>
            <w:tcW w:type="dxa" w:w="26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Tabla 9. Verificación</w:t>
            </w:r>
          </w:p>
        </w:tc>
        <w:tc>
          <w:tcPr>
            <w:tcW w:type="dxa" w:w="64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No aparece. Es control de calidad del equipo</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color w:val="808080"/>
        <w:sz w:val="16"/>
        <w:szCs w:val="16"/>
      </w:rPr>
      <w:t xml:space="preserve">Avance del informe · Punto 2.2.1 · Investigación Cuantitativa · 2026-II · página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2026-09-02T19:36:45.929Z</dcterms:created>
  <dcterms:modified xsi:type="dcterms:W3CDTF">2026-09-02T19:36:45.929Z</dcterms:modified>
</cp:coreProperties>
</file>

<file path=docProps/custom.xml><?xml version="1.0" encoding="utf-8"?>
<Properties xmlns="http://schemas.openxmlformats.org/officeDocument/2006/custom-properties" xmlns:vt="http://schemas.openxmlformats.org/officeDocument/2006/docPropsVTypes"/>
</file>