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Avance del informe. Puntos 2.2.2 y 2.2.3 redactados</w:t>
      </w:r>
    </w:p>
    <w:p>
      <w:pPr>
        <w:spacing w:after="200"/>
        <w:jc w:val="center"/>
      </w:pPr>
      <w:r>
        <w:rPr>
          <w:rFonts w:ascii="Calibri" w:cs="Calibri" w:eastAsia="Calibri" w:hAnsi="Calibri"/>
          <w:b/>
          <w:bCs/>
          <w:sz w:val="22"/>
          <w:szCs w:val="22"/>
        </w:rPr>
        <w:t xml:space="preserve">Cepillo dental de mango durable con cabezal intercambiable</w:t>
      </w:r>
    </w:p>
    <w:p>
      <w:pPr>
        <w:spacing w:after="140" w:before="0" w:line="276"/>
        <w:jc w:val="both"/>
      </w:pPr>
      <w:r>
        <w:rPr>
          <w:rFonts w:ascii="Calibri" w:cs="Calibri" w:eastAsia="Calibri" w:hAnsi="Calibri"/>
          <w:b w:val="false"/>
          <w:bCs w:val="false"/>
          <w:sz w:val="20"/>
          <w:szCs w:val="20"/>
        </w:rPr>
        <w:t xml:space="preserve">Caso ficticio elaborado con fines pedagógicos. Muestra cómo se ven los dos puntos una vez redactados dentro del informe. Las tablas del laboratorio se reducen a dos y el cuestionario completo se traslada al anexo A.2.</w:t>
      </w:r>
    </w:p>
    <w:p>
      <w:pPr>
        <w:spacing w:after="140" w:before="300"/>
      </w:pPr>
      <w:r>
        <w:rPr>
          <w:rFonts w:ascii="Calibri" w:cs="Calibri" w:eastAsia="Calibri" w:hAnsi="Calibri"/>
          <w:b/>
          <w:bCs/>
          <w:sz w:val="24"/>
          <w:szCs w:val="24"/>
        </w:rPr>
        <w:t xml:space="preserve">2.2.2. Técnicas de muestreo y determinación del tamaño de la muestra</w:t>
      </w:r>
    </w:p>
    <w:p>
      <w:pPr>
        <w:spacing w:after="140" w:before="0" w:line="276"/>
        <w:jc w:val="both"/>
      </w:pPr>
      <w:r>
        <w:rPr>
          <w:rFonts w:ascii="Calibri" w:cs="Calibri" w:eastAsia="Calibri" w:hAnsi="Calibri"/>
          <w:b w:val="false"/>
          <w:bCs w:val="false"/>
          <w:sz w:val="20"/>
          <w:szCs w:val="20"/>
        </w:rPr>
        <w:t xml:space="preserve">El estudio se aplica a las personas de 25 a 55 años residentes en Arequipa metropolitana que sean responsables de la compra de artículos de higiene personal de su hogar. Se excluye a quienes no participan en esa compra y a quienes trabajan o tienen un familiar que trabaja en investigación de mercados, publicidad, farmacia u odontología, por conocer la categoría desde la oferta. Los hogares de la ciudad se estiman en 300 000, con un responsable de compra por hogar, y aplicada una tasa de incidencia del 92 por ciento obtenida en la prueba piloto, la población objetivo asciende a 276 000 personas.</w:t>
      </w:r>
    </w:p>
    <w:p>
      <w:pPr>
        <w:spacing w:after="140" w:before="0" w:line="276"/>
        <w:jc w:val="both"/>
      </w:pPr>
      <w:r>
        <w:rPr>
          <w:rFonts w:ascii="Calibri" w:cs="Calibri" w:eastAsia="Calibri" w:hAnsi="Calibri"/>
          <w:b w:val="false"/>
          <w:bCs w:val="false"/>
          <w:sz w:val="20"/>
          <w:szCs w:val="20"/>
        </w:rPr>
        <w:t xml:space="preserve">Se emplea un muestreo no probabilístico por cuotas, con control por grupo de edad y por sexo, verificado desde el bloque de selección del propio cuestionario. La ausencia de un marco muestral accesible de responsables de compra del hogar impide un procedimiento probabilístico. La aplicación se realiza en las inmediaciones de farmacias y supermercados de distintos distritos, con el fin de no concentrar la muestra en un solo canal, y la limitación derivada de este procedimiento se declara de forma expresa en el alcance del estudio.</w:t>
      </w:r>
    </w:p>
    <w:p>
      <w:pPr>
        <w:spacing w:after="140" w:before="0" w:line="276"/>
        <w:jc w:val="both"/>
      </w:pPr>
      <w:r>
        <w:rPr>
          <w:rFonts w:ascii="Calibri" w:cs="Calibri" w:eastAsia="Calibri" w:hAnsi="Calibri"/>
          <w:b w:val="false"/>
          <w:bCs w:val="false"/>
          <w:sz w:val="20"/>
          <w:szCs w:val="20"/>
        </w:rPr>
        <w:t xml:space="preserve">Para el cálculo del tamaño de la muestra se aplicó la fórmula correspondiente a población infinita, dado que la población objetivo supera las cien mil personas y, en ese supuesto, el tamaño requerido no depende del tamaño poblacional. Se trabajó con un nivel de confianza del 95 por ciento, equivalente a un valor Z de 1,96, y con una proporción esperada de 0,50 para p y para q, que corresponde a la máxima varianza posible y se adopta por no existir un estudio previo que permita estimar el parámetro. El margen de error admitido fue de 7 por ciento. El resultado del cálculo, (1,96² × 0,50 × 0,50) dividido entre 0,07², arroja una muestra de 196 encuestas válidas.</w:t>
      </w:r>
    </w:p>
    <w:p>
      <w:pPr>
        <w:spacing w:after="140" w:before="0" w:line="276"/>
        <w:jc w:val="both"/>
      </w:pPr>
      <w:r>
        <w:rPr>
          <w:rFonts w:ascii="Calibri" w:cs="Calibri" w:eastAsia="Calibri" w:hAnsi="Calibri"/>
          <w:b w:val="false"/>
          <w:bCs w:val="false"/>
          <w:sz w:val="20"/>
          <w:szCs w:val="20"/>
        </w:rPr>
        <w:t xml:space="preserve">La muestra se distribuyó por cuotas según el peso poblacional de cada grupo de edad y de cada sexo, del modo que muestra la tabla siguiente. El control se ejecuta desde el propio instrumento: la pregunta de selección correspondiente a la edad verifica el estado de la cuota y termina la entrevista si el grupo ya está completo. Este procedimiento se adopta porque alcanzar el número global con una cuota incompleta impediría la comparación entre grupos prevista en las hipótesis del estudio.</w:t>
      </w:r>
    </w:p>
    <w:p>
      <w:pPr>
        <w:spacing w:after="0" w:before="260"/>
      </w:pPr>
      <w:r>
        <w:rPr>
          <w:rFonts w:ascii="Calibri" w:cs="Calibri" w:eastAsia="Calibri" w:hAnsi="Calibri"/>
          <w:b/>
          <w:bCs/>
          <w:sz w:val="20"/>
          <w:szCs w:val="20"/>
        </w:rPr>
        <w:t xml:space="preserve">Tabla 5</w:t>
      </w:r>
    </w:p>
    <w:p>
      <w:pPr>
        <w:spacing w:after="120" w:before="0"/>
      </w:pPr>
      <w:r>
        <w:rPr>
          <w:rFonts w:ascii="Calibri" w:cs="Calibri" w:eastAsia="Calibri" w:hAnsi="Calibri"/>
          <w:b w:val="false"/>
          <w:bCs w:val="false"/>
          <w:sz w:val="20"/>
          <w:szCs w:val="20"/>
        </w:rPr>
        <w:t xml:space="preserve">Distribución de la muestra por cuotas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600"/>
        <w:gridCol w:w="17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Grupo de edad</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Peso poblacional (%)</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Mujeres</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Hombres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Subtotal</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25 a 39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67</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108</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40 a 55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88</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122</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74</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sobre la base de la estimación poblacional del equipo, 2026.</w:t>
      </w:r>
    </w:p>
    <w:p>
      <w:pPr>
        <w:spacing w:after="140" w:before="120" w:line="276"/>
        <w:jc w:val="both"/>
      </w:pPr>
      <w:r>
        <w:rPr>
          <w:rFonts w:ascii="Calibri" w:cs="Calibri" w:eastAsia="Calibri" w:hAnsi="Calibri"/>
          <w:b w:val="false"/>
          <w:bCs w:val="false"/>
          <w:sz w:val="20"/>
          <w:szCs w:val="20"/>
        </w:rPr>
        <w:t xml:space="preserve">Como limitación del diseño se declara que el procedimiento por cuotas no permite calcular un error de muestreo con propiedades probabilísticas, de modo que los resultados describen a la muestra estudiada y su extensión a la población se plantea como una aproximación y no como una inferencia formal.</w:t>
      </w:r>
    </w:p>
    <w:p>
      <w:pPr>
        <w:spacing w:after="140" w:before="300"/>
      </w:pPr>
      <w:r>
        <w:rPr>
          <w:rFonts w:ascii="Calibri" w:cs="Calibri" w:eastAsia="Calibri" w:hAnsi="Calibri"/>
          <w:b/>
          <w:bCs/>
          <w:sz w:val="24"/>
          <w:szCs w:val="24"/>
        </w:rPr>
        <w:t xml:space="preserve">2.2.3. Diseño de instrumentos cuantitativos: cuestionario, tipos de preguntas y escala de Likert</w:t>
      </w:r>
    </w:p>
    <w:p>
      <w:pPr>
        <w:spacing w:after="140" w:before="0" w:line="276"/>
        <w:jc w:val="both"/>
      </w:pPr>
      <w:r>
        <w:rPr>
          <w:rFonts w:ascii="Calibri" w:cs="Calibri" w:eastAsia="Calibri" w:hAnsi="Calibri"/>
          <w:b w:val="false"/>
          <w:bCs w:val="false"/>
          <w:sz w:val="20"/>
          <w:szCs w:val="20"/>
        </w:rPr>
        <w:t xml:space="preserve">El instrumento es un cuestionario estructurado, aplicado de forma asistida en puntos de alto tránsito y distribuido también mediante formulario en línea. Se compone de un bloque de selección y cuatro módulos temáticos, cada uno derivado de un objetivo específico y de una fila de la matriz de consistencia elaborada en el punto anterior. Ningún módulo se incorporó sin un objetivo que lo respalde y ningún objetivo quedó sin módulo que lo alimente.</w:t>
      </w:r>
    </w:p>
    <w:p>
      <w:pPr>
        <w:spacing w:after="0" w:before="260"/>
      </w:pPr>
      <w:r>
        <w:rPr>
          <w:rFonts w:ascii="Calibri" w:cs="Calibri" w:eastAsia="Calibri" w:hAnsi="Calibri"/>
          <w:b/>
          <w:bCs/>
          <w:sz w:val="20"/>
          <w:szCs w:val="20"/>
        </w:rPr>
        <w:t xml:space="preserve">Tabla 6</w:t>
      </w:r>
    </w:p>
    <w:p>
      <w:pPr>
        <w:spacing w:after="120" w:before="0"/>
      </w:pPr>
      <w:r>
        <w:rPr>
          <w:rFonts w:ascii="Calibri" w:cs="Calibri" w:eastAsia="Calibri" w:hAnsi="Calibri"/>
          <w:b w:val="false"/>
          <w:bCs w:val="false"/>
          <w:sz w:val="20"/>
          <w:szCs w:val="20"/>
        </w:rPr>
        <w:t xml:space="preserve">Estructura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000"/>
        <w:gridCol w:w="4720"/>
      </w:tblGrid>
      <w:tr>
        <w:trPr>
          <w:tblHeader/>
        </w:trPr>
        <w:tc>
          <w:tcPr>
            <w:tcW w:type="dxa" w:w="21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Módulo</w:t>
            </w:r>
          </w:p>
        </w:tc>
        <w:tc>
          <w:tcPr>
            <w:tcW w:type="dxa" w:w="1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Preguntas</w:t>
            </w:r>
          </w:p>
        </w:tc>
        <w:tc>
          <w:tcPr>
            <w:tcW w:type="dxa" w:w="1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w:t>
            </w:r>
          </w:p>
        </w:tc>
        <w:tc>
          <w:tcPr>
            <w:tcW w:type="dxa" w:w="4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Contenido</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Selección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 a S4</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Vínculo laboral con la categoría, residencia, edad para cuota y responsabilidad sobre la compra</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Calentamiento</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y P2</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 y OE2</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Personas en el hogar y frecuencia de reemplazo del cepillo</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 Transición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 a P6</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 y OE5</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Cantidad anual, canal de compra, decisor de la marca y gasto anual del hogar</w:t>
            </w:r>
          </w:p>
        </w:tc>
      </w:tr>
      <w:t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 Preguntas de trabajo</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P17</w:t>
            </w:r>
          </w:p>
        </w:tc>
        <w:tc>
          <w:tcPr>
            <w:tcW w:type="dxa" w:w="1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 OE4, OE5 y OE6</w:t>
            </w:r>
          </w:p>
        </w:tc>
        <w:tc>
          <w:tcPr>
            <w:tcW w:type="dxa" w:w="4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atributos, calidad percibida, actitud ambiental, presentación del concepto, agrado, precios aceptables e intención de compra</w:t>
            </w:r>
          </w:p>
        </w:tc>
      </w:tr>
      <w:tr>
        <w:tc>
          <w:tcPr>
            <w:tcW w:type="dxa" w:w="21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 Clasificación</w:t>
            </w:r>
          </w:p>
        </w:tc>
        <w:tc>
          <w:tcPr>
            <w:tcW w:type="dxa" w:w="1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D3</w:t>
            </w:r>
          </w:p>
        </w:tc>
        <w:tc>
          <w:tcPr>
            <w:tcW w:type="dxa" w:w="1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w:t>
            </w:r>
          </w:p>
        </w:tc>
        <w:tc>
          <w:tcPr>
            <w:tcW w:type="dxa" w:w="4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y ocupación</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Elaboración propia. El cuestionario completo se presenta en el anexo A.2.</w:t>
      </w:r>
    </w:p>
    <w:p>
      <w:pPr>
        <w:spacing w:after="140" w:before="120" w:line="276"/>
        <w:jc w:val="both"/>
      </w:pPr>
      <w:r>
        <w:rPr>
          <w:rFonts w:ascii="Calibri" w:cs="Calibri" w:eastAsia="Calibri" w:hAnsi="Calibri"/>
          <w:b w:val="false"/>
          <w:bCs w:val="false"/>
          <w:sz w:val="20"/>
          <w:szCs w:val="20"/>
        </w:rPr>
        <w:t xml:space="preserve">El orden de los módulos sigue las pautas de flujo propuestas por McDaniel y Gates (2016). El cuestionario abre con preguntas de selección, que identifican al encuestado calificado y verifican el estado de la cuota; continúa con preguntas de calentamiento, fáciles de contestar, que transmiten al encuestado que el instrumento es simple; avanza en su primer tercio con preguntas generales de poco esfuerzo; concentra en el segundo tercio las preguntas que requieren mayor trabajo, entre ellas las escalas de actitud y la evaluación del concepto, momento en el cual el encuestado ya se ha comprometido a terminar; y reserva para el último tercio las preguntas de clasificación y demográficas, de modo que, si alguna resultara incómoda, el resto de la información ya haya sido recogida.</w:t>
      </w:r>
    </w:p>
    <w:p>
      <w:pPr>
        <w:spacing w:after="140" w:before="0" w:line="276"/>
        <w:jc w:val="both"/>
      </w:pPr>
      <w:r>
        <w:rPr>
          <w:rFonts w:ascii="Calibri" w:cs="Calibri" w:eastAsia="Calibri" w:hAnsi="Calibri"/>
          <w:b w:val="false"/>
          <w:bCs w:val="false"/>
          <w:sz w:val="20"/>
          <w:szCs w:val="20"/>
        </w:rPr>
        <w:t xml:space="preserve">En cuanto a los tipos de pregunta, el instrumento combina preguntas cerradas de opción única para las variables nominales, preguntas de respuesta numérica en rangos para las variables de razón, y escalas de actitud para las variables de intervalo. Se emplea una escala de Likert de cinco puntos para medir importancia y grado de acuerdo, y una escala de intención de compra de cinco puntos para la variable dependiente. La escala de Likert se construyó con un número impar de puntos, con el fin de admitir una posición neutra, y con igual cantidad de opciones favorables y desfavorables, de modo que ningún enunciado induzca la respuesta.</w:t>
      </w:r>
    </w:p>
    <w:p>
      <w:pPr>
        <w:spacing w:after="140" w:before="0" w:line="276"/>
        <w:jc w:val="both"/>
      </w:pPr>
      <w:r>
        <w:rPr>
          <w:rFonts w:ascii="Calibri" w:cs="Calibri" w:eastAsia="Calibri" w:hAnsi="Calibri"/>
          <w:b w:val="false"/>
          <w:bCs w:val="false"/>
          <w:sz w:val="20"/>
          <w:szCs w:val="20"/>
        </w:rPr>
        <w:t xml:space="preserve">La ubicación del estímulo tampoco es arbitraria. La importancia asignada a la reducción de plástico se pregunta antes de mostrar la propuesta, porque constituye una actitud general del comprador; formularla después convertiría la respuesta en una consecuencia del concepto y dejaría de funcionar como variable independiente.</w:t>
      </w:r>
    </w:p>
    <w:p>
      <w:pPr>
        <w:spacing w:after="140" w:before="0" w:line="276"/>
        <w:jc w:val="both"/>
      </w:pPr>
      <w:r>
        <w:rPr>
          <w:rFonts w:ascii="Calibri" w:cs="Calibri" w:eastAsia="Calibri" w:hAnsi="Calibri"/>
          <w:b w:val="false"/>
          <w:bCs w:val="false"/>
          <w:sz w:val="20"/>
          <w:szCs w:val="20"/>
        </w:rPr>
        <w:t xml:space="preserve">La disposición a pagar no se formuló mediante una pregunta abierta, sino en rangos de precio construidos a partir del registro propio de precios de la categoría. Esta decisión responde a que la pregunta abierta sobre cuánto pagaría el encuestado produce una dispersión que no admite tratamiento estadístico y tiende a sobreestimar el valor declarado.</w:t>
      </w:r>
    </w:p>
    <w:p>
      <w:pPr>
        <w:spacing w:after="140" w:before="0" w:line="276"/>
        <w:jc w:val="both"/>
      </w:pPr>
      <w:r>
        <w:rPr>
          <w:rFonts w:ascii="Calibri" w:cs="Calibri" w:eastAsia="Calibri" w:hAnsi="Calibri"/>
          <w:b w:val="false"/>
          <w:bCs w:val="false"/>
          <w:sz w:val="20"/>
          <w:szCs w:val="20"/>
        </w:rPr>
        <w:t xml:space="preserve">El instrumento incorpora además una introducción y un cierre. La introducción identifica al encuestador, declara la naturaleza académica del estudio, aclara que no se realizará ninguna venta, informa la duración aproximada y solicita el consentimiento del encuestado; el cierre agradece el tiempo dedicado. Las instrucciones dirigidas al encuestador, incluidas las de término de la entrevista y las de control de cuota, se escriben en mayúsculas para distinguirlas del texto que se lee en voz alta.</w:t>
      </w:r>
    </w:p>
    <w:p>
      <w:pPr>
        <w:spacing w:after="140" w:before="0" w:line="276"/>
        <w:jc w:val="both"/>
      </w:pPr>
      <w:r>
        <w:rPr>
          <w:rFonts w:ascii="Calibri" w:cs="Calibri" w:eastAsia="Calibri" w:hAnsi="Calibri"/>
          <w:b w:val="false"/>
          <w:bCs w:val="false"/>
          <w:sz w:val="20"/>
          <w:szCs w:val="20"/>
        </w:rPr>
        <w:t xml:space="preserve">El instrumento fue sometido a una prueba piloto con diez encuestados, cuyo propósito fue verificar el tiempo de aplicación, la comprensión de cada enunciado y la existencia de alternativas faltantes. Los ajustes derivados de esa prueba se incorporaron antes de iniciar el trabajo de campo, y el cuadro comparativo entre la versión inicial y la versión aplicada se presenta en el anexo A.2.</w:t>
      </w:r>
    </w:p>
    <w:p>
      <w:pPr>
        <w:spacing w:after="140" w:before="300"/>
      </w:pPr>
      <w:r>
        <w:rPr>
          <w:rFonts w:ascii="Calibri" w:cs="Calibri" w:eastAsia="Calibri" w:hAnsi="Calibri"/>
          <w:b/>
          <w:bCs/>
          <w:sz w:val="24"/>
          <w:szCs w:val="24"/>
        </w:rPr>
        <w:t xml:space="preserve">Anexo A.2. Cuestionario aplicado</w:t>
      </w:r>
    </w:p>
    <w:p>
      <w:pPr>
        <w:spacing w:after="120" w:before="240"/>
      </w:pPr>
      <w:r>
        <w:rPr>
          <w:rFonts w:ascii="Calibri" w:cs="Calibri" w:eastAsia="Calibri" w:hAnsi="Calibri"/>
          <w:b/>
          <w:bCs/>
          <w:sz w:val="22"/>
          <w:szCs w:val="22"/>
        </w:rPr>
        <w:t xml:space="preserve">Introducción</w:t>
      </w:r>
    </w:p>
    <w:p>
      <w:pPr>
        <w:spacing w:after="140" w:before="0" w:line="276"/>
        <w:jc w:val="both"/>
      </w:pPr>
      <w:r>
        <w:rPr>
          <w:rFonts w:ascii="Calibri" w:cs="Calibri" w:eastAsia="Calibri" w:hAnsi="Calibri"/>
          <w:b w:val="false"/>
          <w:bCs w:val="false"/>
          <w:sz w:val="20"/>
          <w:szCs w:val="20"/>
        </w:rPr>
        <w:t xml:space="preserve">Buenos días. Mi nombre es (nombre del encuestador) y soy estudiante del Programa de Marketing del segundo ciclo. Estamos realizando un estudio académico sobre (tema general) y no se trata de una venta ni se le ofrecerá ningún producto. La encuesta dura aproximadamente ocho minutos y sus respuestas son anónimas y se usarán únicamente con fines académicos. ¿Podría incluir su opinión?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20"/>
      </w:tblGrid>
      <w:tr>
        <w:trPr>
          <w:tblHeader/>
        </w:trPr>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35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Enunciado</w:t>
            </w:r>
          </w:p>
        </w:tc>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Alternativas, escala e instrucciones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o algún familiar trabaja en una empresa de investigación de mercados, en publicidad, en una farmacia o en odontología?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(TERMINA) / No (CONTINÚA CON S2)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¿Reside usted en la ciudad de Arequipa?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S3)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años cumplidos tiene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25 (TERMINA) / 25 a 39 (CONSULTE EL FORMATO DE CONTROL DE CUOTAS. SI LA CUOTA ESTÁ LLENA, TERMINA) / 40 a 55 (CONSULTE EL FORMATO DE CONTROL DE CUOTAS) / Más de 55 (TERMINA)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Ordinal. Control de cuota</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 usted quien compra los artículos de higiene personal de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A veces (CONTINÚA) / Sí (CONTINÚA CON P1)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¿Cuántas personas viven en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 2 / 3 / 4 / 5 o más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¿Cada cuántos meses reemplaza usted su cepillo dental?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3 / 3 / 4 a 6 / 7 a 12 / Más de 12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cepillos dentales compra al año para todo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RESPUESTA NUMÉRICA ABIERTA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¿Dónde compra habitualmente los cepillos dentales?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Farmacia / Supermercado / Bodega o mercado / Tienda en línea / Otro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¿Quién decide la marca que se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 Otra persona del hogar / Se compra la que esté disponible</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destina aproximadamente al año a la compra de cepillos dentales para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20 / S/ 21 a 40 / S/ 41 a 60 / S/ 61 a 80 / Más de S/ 80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continuación le voy a leer tres características. Para cada una indique qué tan importante es al elegir un cepillo, donde 1 es nada importante y 5 es muy importante. Dureza de las cerdas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P8</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Forma del mango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P9</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Tamaño del cabezal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el cepillo que uso actualmente es de buena calidad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es importante para mí reducir el plástico en los artículos de higiene que compro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MUESTRE LA TARJETA CON LA IMAGEN Y LEA LA DESCRIPCIÓN DEL CONCEPTO: cepillo con mango de bambú de uso prolongado y cabezal de repuesto que se compra por separado, de modo que en cada cambio se reemplace solo la parte que se desgasta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es pregunta. Es el estímulo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Después de ver la propuesta, ¿qué tanto le agrada?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nada a 5 mucho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el mango de uso prolongado, que se compra una sola vez?</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10 / S/ 11 a 18 / S/ 19 a 26 / S/ 27 a 34 / Más de S/ 34</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¿Y cuánto estaría dispuesto a pagar por cada cabezal de repuesto?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3 / S/ 4 a 6 / S/ 7 a 9 / S/ 10 a 12 / Más de S/ 12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la propuesta estuviera disponible, ¿qué tan probable es que la compre en los próximos tres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la compraría / Probablemente no / Podría comprarla / Probablemente sí / Definitivamente sí</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intención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¿Compraría usted los cabezales de repuesto en el mismo lugar donde compra hoy sus cepillos?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 No / Depende del precio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¿Por qué?</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RESPONDIÓ 1 O 2 EN P15, PREGUNTE Y REGISTRE. EN CASO CONTRARIO, PASE A D1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Para terminar, ¿podría indicarme su sexo?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Mujer / Hombre / Prefiero no indicarlo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qué distrito reside?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distritos de Arequipa metropolitana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D3</w:t>
            </w:r>
          </w:p>
        </w:tc>
        <w:tc>
          <w:tcPr>
            <w:tcW w:type="dxa" w:w="35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su ocupación principal?</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Dependiente / Independiente / Labores del hogar / Otra</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bl>
    <w:p>
      <w:pPr>
        <w:spacing w:after="120" w:before="240"/>
      </w:pPr>
      <w:r>
        <w:rPr>
          <w:rFonts w:ascii="Calibri" w:cs="Calibri" w:eastAsia="Calibri" w:hAnsi="Calibri"/>
          <w:b/>
          <w:bCs/>
          <w:sz w:val="22"/>
          <w:szCs w:val="22"/>
        </w:rPr>
        <w:t xml:space="preserve">Cierre</w:t>
      </w:r>
    </w:p>
    <w:p>
      <w:pPr>
        <w:spacing w:after="140" w:before="0" w:line="276"/>
        <w:jc w:val="both"/>
      </w:pPr>
      <w:r>
        <w:rPr>
          <w:rFonts w:ascii="Calibri" w:cs="Calibri" w:eastAsia="Calibri" w:hAnsi="Calibri"/>
          <w:b w:val="false"/>
          <w:bCs w:val="false"/>
          <w:sz w:val="20"/>
          <w:szCs w:val="20"/>
        </w:rPr>
        <w:t xml:space="preserve">Hemos terminado. Le agradezco mucho el tiempo que me ha dedicado. Su opinión es la que permite que este estudio tenga valor. Que tenga buen día.</w:t>
      </w:r>
    </w:p>
    <w:p>
      <w:pPr>
        <w:spacing w:after="140" w:before="300"/>
      </w:pPr>
      <w:r>
        <w:rPr>
          <w:rFonts w:ascii="Calibri" w:cs="Calibri" w:eastAsia="Calibri" w:hAnsi="Calibri"/>
          <w:b/>
          <w:bCs/>
          <w:sz w:val="24"/>
          <w:szCs w:val="24"/>
        </w:rPr>
        <w:t xml:space="preserve">Referencia</w:t>
      </w:r>
    </w:p>
    <w:p>
      <w:pPr>
        <w:spacing w:after="140" w:before="0" w:line="276"/>
        <w:jc w:val="both"/>
      </w:pPr>
      <w:r>
        <w:rPr>
          <w:rFonts w:ascii="Calibri" w:cs="Calibri" w:eastAsia="Calibri" w:hAnsi="Calibri"/>
          <w:b w:val="false"/>
          <w:bCs w:val="false"/>
          <w:sz w:val="20"/>
          <w:szCs w:val="20"/>
        </w:rPr>
        <w:t xml:space="preserve">McDaniel, C., &amp; Gates, R. (2016). El concepto de medición y el diseño de cuestionarios. En Investigación de mercados (10.ª ed., pp. 216-239 y 285-292). Cengage Learning.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Avance del informe 2.2.2 y 2.2.3 · Caso 2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2026-09-08T09:29:22.025Z</dcterms:created>
  <dcterms:modified xsi:type="dcterms:W3CDTF">2026-09-08T09:29:22.025Z</dcterms:modified>
</cp:coreProperties>
</file>

<file path=docProps/custom.xml><?xml version="1.0" encoding="utf-8"?>
<Properties xmlns="http://schemas.openxmlformats.org/officeDocument/2006/custom-properties" xmlns:vt="http://schemas.openxmlformats.org/officeDocument/2006/docPropsVTypes"/>
</file>