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rFonts w:ascii="Arial" w:cs="Arial" w:eastAsia="Arial" w:hAnsi="Arial"/>
          <w:b/>
          <w:bCs/>
          <w:color w:val="000000"/>
          <w:sz w:val="17"/>
          <w:szCs w:val="17"/>
        </w:rPr>
        <w:t xml:space="preserve">PROGRAMA DE ESTUDIOS DE MARKETING — SEGUNDO SEMESTRE — PERÍODO 2026-II</w:t>
      </w:r>
    </w:p>
    <w:p>
      <w:pPr>
        <w:spacing w:after="40"/>
        <w:jc w:val="center"/>
      </w:pPr>
      <w:r>
        <w:rPr>
          <w:rFonts w:ascii="Arial" w:cs="Arial" w:eastAsia="Arial" w:hAnsi="Arial"/>
          <w:b/>
          <w:bCs/>
          <w:color w:val="000000"/>
          <w:sz w:val="26"/>
          <w:szCs w:val="26"/>
        </w:rPr>
        <w:t xml:space="preserve">BORRADOR DEL COMPONENTE DE INVESTIGACIÓN CUANTITATIVA</w:t>
      </w:r>
    </w:p>
    <w:p>
      <w:pPr>
        <w:spacing w:after="170"/>
        <w:jc w:val="center"/>
      </w:pPr>
      <w:r>
        <w:rPr>
          <w:rFonts w:ascii="Arial" w:cs="Arial" w:eastAsia="Arial" w:hAnsi="Arial"/>
          <w:b/>
          <w:bCs/>
          <w:color w:val="000000"/>
          <w:sz w:val="19"/>
          <w:szCs w:val="19"/>
        </w:rPr>
        <w:t xml:space="preserve">PUNTOS 2.2, 2.2.1, 2.2.2 Y 2.2.3 DEL INFORME · EQUIPOS 1 Y 2 DE MKT 2</w:t>
      </w:r>
    </w:p>
    <w:p>
      <w:pPr>
        <w:spacing w:after="120" w:before="0" w:line="270"/>
        <w:jc w:val="both"/>
      </w:pPr>
      <w:r>
        <w:rPr>
          <w:rFonts w:ascii="Arial" w:cs="Arial" w:eastAsia="Arial" w:hAnsi="Arial"/>
          <w:b/>
          <w:bCs/>
          <w:color w:val="000000"/>
          <w:sz w:val="20"/>
          <w:szCs w:val="20"/>
        </w:rPr>
        <w:t xml:space="preserve">Qué es este documento. </w:t>
      </w:r>
      <w:r>
        <w:rPr>
          <w:rFonts w:ascii="Arial" w:cs="Arial" w:eastAsia="Arial" w:hAnsi="Arial"/>
          <w:b w:val="false"/>
          <w:bCs w:val="false"/>
          <w:color w:val="000000"/>
          <w:sz w:val="20"/>
          <w:szCs w:val="20"/>
        </w:rPr>
        <w:t xml:space="preserve">Un borrador redactado de los cuatro puntos del informe que le competen a Investigación Cuantitativa, para los dos equipos. No es el informe final: es el punto de partida que cada equipo corrige, completa y hace suyo. Está escrito sobre la problemática recomendada para cada equipo; si el equipo elige otra, cambian el problema y los objetivos, pero la estructura se conserva.</w:t>
      </w:r>
    </w:p>
    <w:p>
      <w:pPr>
        <w:spacing w:after="120" w:before="0" w:line="270"/>
        <w:jc w:val="both"/>
      </w:pPr>
      <w:r>
        <w:rPr>
          <w:rFonts w:ascii="Arial" w:cs="Arial" w:eastAsia="Arial" w:hAnsi="Arial"/>
          <w:b/>
          <w:bCs/>
          <w:color w:val="000000"/>
          <w:sz w:val="20"/>
          <w:szCs w:val="20"/>
        </w:rPr>
        <w:t xml:space="preserve">Cómo leer los corchetes. </w:t>
      </w:r>
      <w:r>
        <w:rPr>
          <w:rFonts w:ascii="Arial" w:cs="Arial" w:eastAsia="Arial" w:hAnsi="Arial"/>
          <w:b w:val="false"/>
          <w:bCs w:val="false"/>
          <w:color w:val="000000"/>
          <w:sz w:val="20"/>
          <w:szCs w:val="20"/>
        </w:rPr>
        <w:t xml:space="preserve">Todo lo que aparece entre corchetes es un dato que el equipo debe conseguir y verificar. No se entrega ningún informe con corchetes sin resolver. Los cálculos de tamaño de muestra sí están hechos y son correctos con los parámetros indicados.</w:t>
      </w:r>
    </w:p>
    <w:p>
      <w:pPr>
        <w:shd w:fill="000000" w:color="auto" w:val="clear"/>
        <w:spacing w:after="170" w:before="260"/>
        <w:jc w:val="center"/>
      </w:pPr>
      <w:r>
        <w:rPr>
          <w:rFonts w:ascii="Arial" w:cs="Arial" w:eastAsia="Arial" w:hAnsi="Arial"/>
          <w:b/>
          <w:bCs/>
          <w:color w:val="FFFFFF"/>
          <w:sz w:val="21"/>
          <w:szCs w:val="21"/>
        </w:rPr>
        <w:t xml:space="preserve">EQUIPO 1 · COLECCIÓN DE PELUCHES CON FORMA DE POSTRES PERUANOS</w:t>
      </w:r>
    </w:p>
    <w:p>
      <w:pPr>
        <w:pBdr>
          <w:bottom w:val="single" w:color="000000" w:sz="8"/>
        </w:pBdr>
        <w:spacing w:after="130" w:before="280"/>
      </w:pPr>
      <w:r>
        <w:rPr>
          <w:rFonts w:ascii="Arial" w:cs="Arial" w:eastAsia="Arial" w:hAnsi="Arial"/>
          <w:b/>
          <w:bCs/>
          <w:color w:val="000000"/>
          <w:sz w:val="21"/>
          <w:szCs w:val="21"/>
        </w:rPr>
        <w:t xml:space="preserve">2.2. Método de investigación</w:t>
      </w:r>
    </w:p>
    <w:p>
      <w:pPr>
        <w:spacing w:after="120" w:before="0" w:line="270"/>
        <w:jc w:val="both"/>
      </w:pPr>
      <w:r>
        <w:rPr>
          <w:rFonts w:ascii="Arial" w:cs="Arial" w:eastAsia="Arial" w:hAnsi="Arial"/>
          <w:b w:val="false"/>
          <w:bCs w:val="false"/>
          <w:color w:val="000000"/>
          <w:sz w:val="20"/>
          <w:szCs w:val="20"/>
        </w:rPr>
        <w:t xml:space="preserve">El estudio adopta un enfoque mixto. El componente cualitativo explora las motivaciones asociadas a la compra de un regalo y aporta el vocabulario del consumidor para la redacción de las alternativas de respuesta. El componente cuantitativo, que es el que se desarrolla en este apartado, mide con instrumentos estructurados la frecuencia de compra, la valoración de los atributos del concepto y la disposición a pagar, con el fin de sustentar con evidencia numérica la decisión de lanzar la colección.</w:t>
      </w:r>
    </w:p>
    <w:p>
      <w:pPr>
        <w:spacing w:after="120" w:before="0" w:line="270"/>
        <w:jc w:val="both"/>
      </w:pPr>
      <w:r>
        <w:rPr>
          <w:rFonts w:ascii="Arial" w:cs="Arial" w:eastAsia="Arial" w:hAnsi="Arial"/>
          <w:b w:val="false"/>
          <w:bCs w:val="false"/>
          <w:color w:val="000000"/>
          <w:sz w:val="20"/>
          <w:szCs w:val="20"/>
        </w:rPr>
        <w:t xml:space="preserve">La investigación es de tipo descriptiva, porque su propósito es caracterizar el comportamiento y las preferencias de un público definido, con un componente correlacional en la medida en que contrasta la relación entre la valoración de la identidad peruana del diseño y la intención de compra. El diseño es no experimental y transversal: no se manipula ninguna variable y los datos se recogen en un único momento, entre el 8 y el 15 de setiembre de 2026.</w:t>
      </w:r>
    </w:p>
    <w:p>
      <w:pPr>
        <w:pBdr>
          <w:bottom w:val="single" w:color="000000" w:sz="8"/>
        </w:pBdr>
        <w:spacing w:after="130" w:before="280"/>
      </w:pPr>
      <w:r>
        <w:rPr>
          <w:rFonts w:ascii="Arial" w:cs="Arial" w:eastAsia="Arial" w:hAnsi="Arial"/>
          <w:b/>
          <w:bCs/>
          <w:color w:val="000000"/>
          <w:sz w:val="21"/>
          <w:szCs w:val="21"/>
        </w:rPr>
        <w:t xml:space="preserve">2.2.1. Planteamiento del problema, variables e hipótesis</w:t>
      </w:r>
    </w:p>
    <w:p>
      <w:pPr>
        <w:spacing w:after="100" w:before="200"/>
      </w:pPr>
      <w:r>
        <w:rPr>
          <w:rFonts w:ascii="Arial" w:cs="Arial" w:eastAsia="Arial" w:hAnsi="Arial"/>
          <w:b/>
          <w:bCs/>
          <w:color w:val="000000"/>
          <w:sz w:val="20"/>
          <w:szCs w:val="20"/>
        </w:rPr>
        <w:t xml:space="preserve">Situación problemática</w:t>
      </w:r>
    </w:p>
    <w:p>
      <w:pPr>
        <w:spacing w:after="120" w:before="0" w:line="270"/>
        <w:jc w:val="both"/>
      </w:pPr>
      <w:r>
        <w:rPr>
          <w:rFonts w:ascii="Arial" w:cs="Arial" w:eastAsia="Arial" w:hAnsi="Arial"/>
          <w:b w:val="false"/>
          <w:bCs w:val="false"/>
          <w:color w:val="000000"/>
          <w:sz w:val="20"/>
          <w:szCs w:val="20"/>
        </w:rPr>
        <w:t xml:space="preserve">La oferta de artículos de regalo en Arequipa se encuentra dividida entre la artesanía tradicional, de precio elevado y estética poco contemporánea, y el souvenir importado de bajo costo, que no guarda relación con la identidad local. El comprador que busca un obsequio con identidad peruana y factura actual no encuentra una opción intermedia, y termina eligiendo por descarte. [VERIFICAR: contrastar esta afirmación con el surtido y los precios de al menos cinco puntos de venta de regalo de la ciudad, y adjuntar el registro en anexos.]</w:t>
      </w:r>
    </w:p>
    <w:p>
      <w:pPr>
        <w:spacing w:after="100" w:before="200"/>
      </w:pPr>
      <w:r>
        <w:rPr>
          <w:rFonts w:ascii="Arial" w:cs="Arial" w:eastAsia="Arial" w:hAnsi="Arial"/>
          <w:b/>
          <w:bCs/>
          <w:color w:val="000000"/>
          <w:sz w:val="20"/>
          <w:szCs w:val="20"/>
        </w:rPr>
        <w:t xml:space="preserve">Problema de decisión gerencial</w:t>
      </w:r>
    </w:p>
    <w:p>
      <w:pPr>
        <w:spacing w:after="120" w:before="0" w:line="270"/>
        <w:jc w:val="both"/>
      </w:pPr>
      <w:r>
        <w:rPr>
          <w:rFonts w:ascii="Arial" w:cs="Arial" w:eastAsia="Arial" w:hAnsi="Arial"/>
          <w:b w:val="false"/>
          <w:bCs w:val="false"/>
          <w:color w:val="000000"/>
          <w:sz w:val="20"/>
          <w:szCs w:val="20"/>
        </w:rPr>
        <w:t xml:space="preserve">¿Conviene lanzar al mercado arequipeño una colección de peluches con forma de postres peruanos, con qué postres iniciar la colección y a qué precio de venta al público?</w:t>
      </w:r>
    </w:p>
    <w:p>
      <w:pPr>
        <w:spacing w:after="100" w:before="200"/>
      </w:pPr>
      <w:r>
        <w:rPr>
          <w:rFonts w:ascii="Arial" w:cs="Arial" w:eastAsia="Arial" w:hAnsi="Arial"/>
          <w:b/>
          <w:bCs/>
          <w:color w:val="000000"/>
          <w:sz w:val="20"/>
          <w:szCs w:val="20"/>
        </w:rPr>
        <w:t xml:space="preserve">Problema de investigación de mercados</w:t>
      </w:r>
    </w:p>
    <w:p>
      <w:pPr>
        <w:spacing w:after="120" w:before="0" w:line="270"/>
        <w:jc w:val="both"/>
      </w:pPr>
      <w:r>
        <w:rPr>
          <w:rFonts w:ascii="Arial" w:cs="Arial" w:eastAsia="Arial" w:hAnsi="Arial"/>
          <w:b w:val="false"/>
          <w:bCs w:val="false"/>
          <w:color w:val="000000"/>
          <w:sz w:val="20"/>
          <w:szCs w:val="20"/>
        </w:rPr>
        <w:t xml:space="preserve">¿Cuál es la frecuencia de compra de regalos, la valoración de la identidad peruana en el diseño y la disposición a pagar por una colección de peluches con forma de postres peruanos, en los residentes de 16 a 30 años de Arequipa metropolitana durante setiembre de 2026, para decidir el lanzamiento de la colección?</w:t>
      </w:r>
    </w:p>
    <w:p>
      <w:pPr>
        <w:spacing w:after="130"/>
      </w:pPr>
      <w:r>
        <w:rPr>
          <w:rFonts w:ascii="Arial" w:cs="Arial" w:eastAsia="Arial" w:hAnsi="Arial"/>
          <w:b w:val="false"/>
          <w:bCs w:val="false"/>
          <w:color w:val="000000"/>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Pilar</w:t>
            </w:r>
          </w:p>
        </w:tc>
        <w:tc>
          <w:tcPr>
            <w:tcW w:type="dxa" w:w="71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Contenido</w:t>
            </w:r>
          </w:p>
        </w:tc>
      </w:tr>
      <w:tr>
        <w:tc>
          <w:tcPr>
            <w:tcW w:type="dxa" w:w="1900"/>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1. ¿Qué medir?</w:t>
            </w:r>
          </w:p>
        </w:tc>
        <w:tc>
          <w:tcPr>
            <w:tcW w:type="dxa" w:w="71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Frecuencia de compra de regalos, valoración de la identidad peruana en el diseño, percepción del precio, disposición a pagar e intención de compra</w:t>
            </w:r>
          </w:p>
        </w:tc>
      </w:tr>
      <w:tr>
        <w:tc>
          <w:tcPr>
            <w:tcW w:type="dxa" w:w="19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2. ¿De quién?</w:t>
            </w:r>
          </w:p>
        </w:tc>
        <w:tc>
          <w:tcPr>
            <w:tcW w:type="dxa" w:w="71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Residentes de 16 a 30 años que hayan comprado un regalo en los últimos seis meses</w:t>
            </w:r>
          </w:p>
        </w:tc>
      </w:tr>
      <w:tr>
        <w:tc>
          <w:tcPr>
            <w:tcW w:type="dxa" w:w="1900"/>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3. ¿Dónde?</w:t>
            </w:r>
          </w:p>
        </w:tc>
        <w:tc>
          <w:tcPr>
            <w:tcW w:type="dxa" w:w="71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Arequipa metropolitana</w:t>
            </w:r>
          </w:p>
        </w:tc>
      </w:tr>
      <w:tr>
        <w:tc>
          <w:tcPr>
            <w:tcW w:type="dxa" w:w="19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4. ¿Cuándo?</w:t>
            </w:r>
          </w:p>
        </w:tc>
        <w:tc>
          <w:tcPr>
            <w:tcW w:type="dxa" w:w="71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Setiembre de 2026</w:t>
            </w:r>
          </w:p>
        </w:tc>
      </w:tr>
      <w:tr>
        <w:tc>
          <w:tcPr>
            <w:tcW w:type="dxa" w:w="1900"/>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5. ¿Para qué decisión?</w:t>
            </w:r>
          </w:p>
        </w:tc>
        <w:tc>
          <w:tcPr>
            <w:tcW w:type="dxa" w:w="71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Decidir el lanzamiento de la colección, los postres con los que se inicia y el precio de venta</w:t>
            </w:r>
          </w:p>
        </w:tc>
      </w:tr>
    </w:tbl>
    <w:p>
      <w:pPr>
        <w:spacing w:after="100" w:before="200"/>
      </w:pPr>
      <w:r>
        <w:rPr>
          <w:rFonts w:ascii="Arial" w:cs="Arial" w:eastAsia="Arial" w:hAnsi="Arial"/>
          <w:b/>
          <w:bCs/>
          <w:color w:val="000000"/>
          <w:sz w:val="20"/>
          <w:szCs w:val="20"/>
        </w:rPr>
        <w:t xml:space="preserve">Objetivo general</w:t>
      </w:r>
    </w:p>
    <w:p>
      <w:pPr>
        <w:spacing w:after="120" w:before="0" w:line="270"/>
        <w:jc w:val="both"/>
      </w:pPr>
      <w:r>
        <w:rPr>
          <w:rFonts w:ascii="Arial" w:cs="Arial" w:eastAsia="Arial" w:hAnsi="Arial"/>
          <w:b w:val="false"/>
          <w:bCs w:val="false"/>
          <w:color w:val="000000"/>
          <w:sz w:val="20"/>
          <w:szCs w:val="20"/>
        </w:rPr>
        <w:t xml:space="preserve">Determinar la frecuencia de compra de regalos, la valoración de la identidad peruana en el diseño y la disposición a pagar por una colección de peluches con forma de postres peruanos, en los residentes de 16 a 30 años de Arequipa metropolitana durante setiembre de 2026.</w:t>
      </w:r>
    </w:p>
    <w:p>
      <w:pPr>
        <w:spacing w:after="100" w:before="200"/>
      </w:pPr>
      <w:r>
        <w:rPr>
          <w:rFonts w:ascii="Arial" w:cs="Arial" w:eastAsia="Arial" w:hAnsi="Arial"/>
          <w:b/>
          <w:bCs/>
          <w:color w:val="000000"/>
          <w:sz w:val="20"/>
          <w:szCs w:val="20"/>
        </w:rPr>
        <w:t xml:space="preserve">Objetivos específicos</w:t>
      </w:r>
    </w:p>
    <w:p>
      <w:pPr>
        <w:spacing w:after="120" w:before="0" w:line="270"/>
        <w:jc w:val="both"/>
      </w:pPr>
      <w:r>
        <w:rPr>
          <w:rFonts w:ascii="Arial" w:cs="Arial" w:eastAsia="Arial" w:hAnsi="Arial"/>
          <w:b/>
          <w:bCs/>
          <w:color w:val="000000"/>
          <w:sz w:val="20"/>
          <w:szCs w:val="20"/>
        </w:rPr>
        <w:t xml:space="preserve">OE1.   </w:t>
      </w:r>
      <w:r>
        <w:rPr>
          <w:rFonts w:ascii="Arial" w:cs="Arial" w:eastAsia="Arial" w:hAnsi="Arial"/>
          <w:b w:val="false"/>
          <w:bCs w:val="false"/>
          <w:color w:val="000000"/>
          <w:sz w:val="20"/>
          <w:szCs w:val="20"/>
        </w:rPr>
        <w:t xml:space="preserve">Identificar los hábitos de compra de regalos de los residentes de 16 a 30 años de Arequipa metropolitana: frecuencia, ocasión, lugar de compra y gasto promedio.</w:t>
      </w:r>
    </w:p>
    <w:p>
      <w:pPr>
        <w:spacing w:after="120" w:before="0" w:line="270"/>
        <w:jc w:val="both"/>
      </w:pPr>
      <w:r>
        <w:rPr>
          <w:rFonts w:ascii="Arial" w:cs="Arial" w:eastAsia="Arial" w:hAnsi="Arial"/>
          <w:b/>
          <w:bCs/>
          <w:color w:val="000000"/>
          <w:sz w:val="20"/>
          <w:szCs w:val="20"/>
        </w:rPr>
        <w:t xml:space="preserve">OE2.   </w:t>
      </w:r>
      <w:r>
        <w:rPr>
          <w:rFonts w:ascii="Arial" w:cs="Arial" w:eastAsia="Arial" w:hAnsi="Arial"/>
          <w:b w:val="false"/>
          <w:bCs w:val="false"/>
          <w:color w:val="000000"/>
          <w:sz w:val="20"/>
          <w:szCs w:val="20"/>
        </w:rPr>
        <w:t xml:space="preserve">Evaluar la percepción y la satisfacción con el producto que hoy resuelve la misma ocasión de compra, entendido como producto sustituto.</w:t>
      </w:r>
    </w:p>
    <w:p>
      <w:pPr>
        <w:spacing w:after="120" w:before="0" w:line="270"/>
        <w:jc w:val="both"/>
      </w:pPr>
      <w:r>
        <w:rPr>
          <w:rFonts w:ascii="Arial" w:cs="Arial" w:eastAsia="Arial" w:hAnsi="Arial"/>
          <w:b/>
          <w:bCs/>
          <w:color w:val="000000"/>
          <w:sz w:val="20"/>
          <w:szCs w:val="20"/>
        </w:rPr>
        <w:t xml:space="preserve">OE3.   </w:t>
      </w:r>
      <w:r>
        <w:rPr>
          <w:rFonts w:ascii="Arial" w:cs="Arial" w:eastAsia="Arial" w:hAnsi="Arial"/>
          <w:b w:val="false"/>
          <w:bCs w:val="false"/>
          <w:color w:val="000000"/>
          <w:sz w:val="20"/>
          <w:szCs w:val="20"/>
        </w:rPr>
        <w:t xml:space="preserve">Determinar el nivel de recordación y los atributos asociados a las marcas y tiendas que compiten por esa ocasión de compra.</w:t>
      </w:r>
    </w:p>
    <w:p>
      <w:pPr>
        <w:spacing w:after="120" w:before="0" w:line="270"/>
        <w:jc w:val="both"/>
      </w:pPr>
      <w:r>
        <w:rPr>
          <w:rFonts w:ascii="Arial" w:cs="Arial" w:eastAsia="Arial" w:hAnsi="Arial"/>
          <w:b/>
          <w:bCs/>
          <w:color w:val="000000"/>
          <w:sz w:val="20"/>
          <w:szCs w:val="20"/>
        </w:rPr>
        <w:t xml:space="preserve">OE4.   </w:t>
      </w:r>
      <w:r>
        <w:rPr>
          <w:rFonts w:ascii="Arial" w:cs="Arial" w:eastAsia="Arial" w:hAnsi="Arial"/>
          <w:b w:val="false"/>
          <w:bCs w:val="false"/>
          <w:color w:val="000000"/>
          <w:sz w:val="20"/>
          <w:szCs w:val="20"/>
        </w:rPr>
        <w:t xml:space="preserve">Medir la valoración de la identidad peruana del diseño y la intención de compra del concepto propuesto.</w:t>
      </w:r>
    </w:p>
    <w:p>
      <w:pPr>
        <w:spacing w:after="120" w:before="0" w:line="270"/>
        <w:jc w:val="both"/>
      </w:pPr>
      <w:r>
        <w:rPr>
          <w:rFonts w:ascii="Arial" w:cs="Arial" w:eastAsia="Arial" w:hAnsi="Arial"/>
          <w:b/>
          <w:bCs/>
          <w:color w:val="000000"/>
          <w:sz w:val="20"/>
          <w:szCs w:val="20"/>
        </w:rPr>
        <w:t xml:space="preserve">OE5.   </w:t>
      </w:r>
      <w:r>
        <w:rPr>
          <w:rFonts w:ascii="Arial" w:cs="Arial" w:eastAsia="Arial" w:hAnsi="Arial"/>
          <w:b w:val="false"/>
          <w:bCs w:val="false"/>
          <w:color w:val="000000"/>
          <w:sz w:val="20"/>
          <w:szCs w:val="20"/>
        </w:rPr>
        <w:t xml:space="preserve">Establecer la disposición a pagar por la colección y su variación cuando la compra incorpora un ritual de entrega.</w:t>
      </w:r>
    </w:p>
    <w:p>
      <w:pPr>
        <w:spacing w:after="120" w:before="0" w:line="270"/>
        <w:jc w:val="both"/>
      </w:pPr>
      <w:r>
        <w:rPr>
          <w:rFonts w:ascii="Arial" w:cs="Arial" w:eastAsia="Arial" w:hAnsi="Arial"/>
          <w:b/>
          <w:bCs/>
          <w:color w:val="000000"/>
          <w:sz w:val="20"/>
          <w:szCs w:val="20"/>
        </w:rPr>
        <w:t xml:space="preserve">OE6.   </w:t>
      </w:r>
      <w:r>
        <w:rPr>
          <w:rFonts w:ascii="Arial" w:cs="Arial" w:eastAsia="Arial" w:hAnsi="Arial"/>
          <w:b w:val="false"/>
          <w:bCs w:val="false"/>
          <w:color w:val="000000"/>
          <w:sz w:val="20"/>
          <w:szCs w:val="20"/>
        </w:rPr>
        <w:t xml:space="preserve">Medir la importancia asignada al uso de materiales recuperados en la elaboración del producto.</w:t>
      </w:r>
    </w:p>
    <w:p>
      <w:pPr>
        <w:spacing w:after="100" w:before="200"/>
      </w:pPr>
      <w:r>
        <w:rPr>
          <w:rFonts w:ascii="Arial" w:cs="Arial" w:eastAsia="Arial" w:hAnsi="Arial"/>
          <w:b/>
          <w:bCs/>
          <w:color w:val="000000"/>
          <w:sz w:val="20"/>
          <w:szCs w:val="20"/>
        </w:rPr>
        <w:t xml:space="preserve">Variables del estudio</w:t>
      </w:r>
    </w:p>
    <w:p>
      <w:pPr>
        <w:spacing w:after="120" w:before="0" w:line="270"/>
        <w:jc w:val="both"/>
      </w:pPr>
      <w:r>
        <w:rPr>
          <w:rFonts w:ascii="Arial" w:cs="Arial" w:eastAsia="Arial" w:hAnsi="Arial"/>
          <w:b w:val="false"/>
          <w:bCs w:val="false"/>
          <w:color w:val="000000"/>
          <w:sz w:val="20"/>
          <w:szCs w:val="20"/>
        </w:rPr>
        <w:t xml:space="preserve">Tabla 4. Variables de estudio del equipo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400"/>
        <w:gridCol w:w="2600"/>
      </w:tblGrid>
      <w:tr>
        <w:trPr>
          <w:tblHeader/>
        </w:trPr>
        <w:tc>
          <w:tcPr>
            <w:tcW w:type="dxa" w:w="12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Tipo</w:t>
            </w:r>
          </w:p>
        </w:tc>
        <w:tc>
          <w:tcPr>
            <w:tcW w:type="dxa" w:w="18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Variable</w:t>
            </w:r>
          </w:p>
        </w:tc>
        <w:tc>
          <w:tcPr>
            <w:tcW w:type="dxa" w:w="34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Definición operativa (indicador)</w:t>
            </w:r>
          </w:p>
        </w:tc>
        <w:tc>
          <w:tcPr>
            <w:tcW w:type="dxa" w:w="26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Nivel de medición</w:t>
            </w:r>
          </w:p>
        </w:tc>
      </w:tr>
      <w:tr>
        <w:tc>
          <w:tcPr>
            <w:tcW w:type="dxa" w:w="1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VD</w:t>
            </w:r>
          </w:p>
        </w:tc>
        <w:tc>
          <w:tcPr>
            <w:tcW w:type="dxa" w:w="18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Intención de compra de la colección</w:t>
            </w:r>
          </w:p>
        </w:tc>
        <w:tc>
          <w:tcPr>
            <w:tcW w:type="dxa" w:w="34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Probabilidad declarada de adquirir un peluche de la colección en los próximos tres meses</w:t>
            </w:r>
          </w:p>
        </w:tc>
        <w:tc>
          <w:tcPr>
            <w:tcW w:type="dxa" w:w="26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Intervalo. Escala de intención de compra de 5 puntos</w:t>
            </w:r>
          </w:p>
        </w:tc>
      </w:tr>
      <w:tr>
        <w:tc>
          <w:tcPr>
            <w:tcW w:type="dxa" w:w="12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VI 1</w:t>
            </w:r>
          </w:p>
        </w:tc>
        <w:tc>
          <w:tcPr>
            <w:tcW w:type="dxa" w:w="18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Frecuencia de compra de regalos</w:t>
            </w:r>
          </w:p>
        </w:tc>
        <w:tc>
          <w:tcPr>
            <w:tcW w:type="dxa" w:w="34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Número de regalos adquiridos en los últimos seis meses</w:t>
            </w:r>
          </w:p>
        </w:tc>
        <w:tc>
          <w:tcPr>
            <w:tcW w:type="dxa" w:w="26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Razón. Respuesta numérica en rangos</w:t>
            </w:r>
          </w:p>
        </w:tc>
      </w:tr>
      <w:tr>
        <w:tc>
          <w:tcPr>
            <w:tcW w:type="dxa" w:w="1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VI 2</w:t>
            </w:r>
          </w:p>
        </w:tc>
        <w:tc>
          <w:tcPr>
            <w:tcW w:type="dxa" w:w="18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Valoración de la identidad peruana del diseño</w:t>
            </w:r>
          </w:p>
        </w:tc>
        <w:tc>
          <w:tcPr>
            <w:tcW w:type="dxa" w:w="34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Grado de acuerdo con que un diseño inspirado en un postre peruano hace más atractivo el producto</w:t>
            </w:r>
          </w:p>
        </w:tc>
        <w:tc>
          <w:tcPr>
            <w:tcW w:type="dxa" w:w="26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Intervalo. Likert de 5 puntos</w:t>
            </w:r>
          </w:p>
        </w:tc>
      </w:tr>
      <w:tr>
        <w:tc>
          <w:tcPr>
            <w:tcW w:type="dxa" w:w="12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VI 3</w:t>
            </w:r>
          </w:p>
        </w:tc>
        <w:tc>
          <w:tcPr>
            <w:tcW w:type="dxa" w:w="18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Percepción del precio</w:t>
            </w:r>
          </w:p>
        </w:tc>
        <w:tc>
          <w:tcPr>
            <w:tcW w:type="dxa" w:w="34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Evaluación del precio propuesto para la colección</w:t>
            </w:r>
          </w:p>
        </w:tc>
        <w:tc>
          <w:tcPr>
            <w:tcW w:type="dxa" w:w="26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Intervalo. Diferencial semántico de 1 a 7, de muy barato a muy caro</w:t>
            </w:r>
          </w:p>
        </w:tc>
      </w:tr>
      <w:tr>
        <w:tc>
          <w:tcPr>
            <w:tcW w:type="dxa" w:w="1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VI 4</w:t>
            </w:r>
          </w:p>
        </w:tc>
        <w:tc>
          <w:tcPr>
            <w:tcW w:type="dxa" w:w="18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Disposición a pagar</w:t>
            </w:r>
          </w:p>
        </w:tc>
        <w:tc>
          <w:tcPr>
            <w:tcW w:type="dxa" w:w="34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Rango de precio que el encuestado declara estar dispuesto a pagar por una unidad</w:t>
            </w:r>
          </w:p>
        </w:tc>
        <w:tc>
          <w:tcPr>
            <w:tcW w:type="dxa" w:w="26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Razón. Rangos en soles</w:t>
            </w:r>
          </w:p>
        </w:tc>
      </w:tr>
      <w:tr>
        <w:tc>
          <w:tcPr>
            <w:tcW w:type="dxa" w:w="12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VI 5</w:t>
            </w:r>
          </w:p>
        </w:tc>
        <w:tc>
          <w:tcPr>
            <w:tcW w:type="dxa" w:w="18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Importancia del material recuperado</w:t>
            </w:r>
          </w:p>
        </w:tc>
        <w:tc>
          <w:tcPr>
            <w:tcW w:type="dxa" w:w="34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Grado de acuerdo con que es relevante que el relleno y la tela provengan de material recuperado</w:t>
            </w:r>
          </w:p>
        </w:tc>
        <w:tc>
          <w:tcPr>
            <w:tcW w:type="dxa" w:w="26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Intervalo. Likert de 5 puntos</w:t>
            </w:r>
          </w:p>
        </w:tc>
      </w:tr>
      <w:tr>
        <w:tc>
          <w:tcPr>
            <w:tcW w:type="dxa" w:w="1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VI 6</w:t>
            </w:r>
          </w:p>
        </w:tc>
        <w:tc>
          <w:tcPr>
            <w:tcW w:type="dxa" w:w="18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Canal de compra habitual</w:t>
            </w:r>
          </w:p>
        </w:tc>
        <w:tc>
          <w:tcPr>
            <w:tcW w:type="dxa" w:w="34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Lugar donde adquiere habitualmente los regalos</w:t>
            </w:r>
          </w:p>
        </w:tc>
        <w:tc>
          <w:tcPr>
            <w:tcW w:type="dxa" w:w="26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Nominal. Opción única</w:t>
            </w:r>
          </w:p>
        </w:tc>
      </w:tr>
    </w:tbl>
    <w:p>
      <w:pPr>
        <w:spacing w:after="100" w:before="200"/>
      </w:pPr>
      <w:r>
        <w:rPr>
          <w:rFonts w:ascii="Arial" w:cs="Arial" w:eastAsia="Arial" w:hAnsi="Arial"/>
          <w:b/>
          <w:bCs/>
          <w:color w:val="000000"/>
          <w:sz w:val="20"/>
          <w:szCs w:val="20"/>
        </w:rPr>
        <w:t xml:space="preserve">Hipótesis</w:t>
      </w:r>
    </w:p>
    <w:p>
      <w:pPr>
        <w:spacing w:after="120" w:before="0" w:line="270"/>
        <w:jc w:val="both"/>
      </w:pPr>
      <w:r>
        <w:rPr>
          <w:rFonts w:ascii="Arial" w:cs="Arial" w:eastAsia="Arial" w:hAnsi="Arial"/>
          <w:b/>
          <w:bCs/>
          <w:color w:val="000000"/>
          <w:sz w:val="20"/>
          <w:szCs w:val="20"/>
        </w:rPr>
        <w:t xml:space="preserve">Hipótesis de investigación (Ha). </w:t>
      </w:r>
      <w:r>
        <w:rPr>
          <w:rFonts w:ascii="Arial" w:cs="Arial" w:eastAsia="Arial" w:hAnsi="Arial"/>
          <w:b w:val="false"/>
          <w:bCs w:val="false"/>
          <w:color w:val="000000"/>
          <w:sz w:val="20"/>
          <w:szCs w:val="20"/>
        </w:rPr>
        <w:t xml:space="preserve">La valoración de la identidad peruana del diseño influye de manera directa y positiva en la intención de compra de la colección de peluches con forma de postres peruanos, en los residentes de 16 a 30 años de Arequipa metropolitana durante setiembre de 2026.</w:t>
      </w:r>
    </w:p>
    <w:p>
      <w:pPr>
        <w:spacing w:after="120" w:before="0" w:line="270"/>
        <w:jc w:val="both"/>
      </w:pPr>
      <w:r>
        <w:rPr>
          <w:rFonts w:ascii="Arial" w:cs="Arial" w:eastAsia="Arial" w:hAnsi="Arial"/>
          <w:b/>
          <w:bCs/>
          <w:color w:val="000000"/>
          <w:sz w:val="20"/>
          <w:szCs w:val="20"/>
        </w:rPr>
        <w:t xml:space="preserve">Contraste de diferencia de medias. </w:t>
      </w:r>
      <w:r>
        <w:rPr>
          <w:rFonts w:ascii="Arial" w:cs="Arial" w:eastAsia="Arial" w:hAnsi="Arial"/>
          <w:b w:val="false"/>
          <w:bCs w:val="false"/>
          <w:color w:val="000000"/>
          <w:sz w:val="20"/>
          <w:szCs w:val="20"/>
        </w:rPr>
        <w:t xml:space="preserve">H0: la disposición a pagar promedio es idéntica entre los encuestados que asignan alta importancia a la identidad peruana del diseño y los que le asignan baja importancia (µ1 = µ2). Ha: la disposición a pagar promedio es significativamente superior en el grupo de alta valoración (µ1 &gt; µ2). El contraste se realiza mediante la prueba T de Student para muestras independientes.</w:t>
      </w:r>
    </w:p>
    <w:p>
      <w:pPr>
        <w:spacing w:after="120" w:before="0" w:line="270"/>
        <w:jc w:val="both"/>
      </w:pPr>
      <w:r>
        <w:rPr>
          <w:rFonts w:ascii="Arial" w:cs="Arial" w:eastAsia="Arial" w:hAnsi="Arial"/>
          <w:b/>
          <w:bCs/>
          <w:color w:val="000000"/>
          <w:sz w:val="20"/>
          <w:szCs w:val="20"/>
        </w:rPr>
        <w:t xml:space="preserve">Contraste de independencia. </w:t>
      </w:r>
      <w:r>
        <w:rPr>
          <w:rFonts w:ascii="Arial" w:cs="Arial" w:eastAsia="Arial" w:hAnsi="Arial"/>
          <w:b w:val="false"/>
          <w:bCs w:val="false"/>
          <w:color w:val="000000"/>
          <w:sz w:val="20"/>
          <w:szCs w:val="20"/>
        </w:rPr>
        <w:t xml:space="preserve">H0: la intención de compra es independiente del grupo de edad. Ha: existe relación entre la intención de compra y el grupo de edad. El contraste se realiza mediante la prueba de Ji-cuadrada.</w:t>
      </w:r>
    </w:p>
    <w:p>
      <w:pPr>
        <w:pBdr>
          <w:bottom w:val="single" w:color="000000" w:sz="8"/>
        </w:pBdr>
        <w:spacing w:after="130" w:before="280"/>
      </w:pPr>
      <w:r>
        <w:rPr>
          <w:rFonts w:ascii="Arial" w:cs="Arial" w:eastAsia="Arial" w:hAnsi="Arial"/>
          <w:b/>
          <w:bCs/>
          <w:color w:val="000000"/>
          <w:sz w:val="21"/>
          <w:szCs w:val="21"/>
        </w:rPr>
        <w:t xml:space="preserve">2.2.2. Técnicas de muestreo y determinación del tamaño de la muestra</w:t>
      </w:r>
    </w:p>
    <w:p>
      <w:pPr>
        <w:spacing w:after="100" w:before="200"/>
      </w:pPr>
      <w:r>
        <w:rPr>
          <w:rFonts w:ascii="Arial" w:cs="Arial" w:eastAsia="Arial" w:hAnsi="Arial"/>
          <w:b/>
          <w:bCs/>
          <w:color w:val="000000"/>
          <w:sz w:val="20"/>
          <w:szCs w:val="20"/>
        </w:rPr>
        <w:t xml:space="preserve">Población objetivo</w:t>
      </w:r>
    </w:p>
    <w:p>
      <w:pPr>
        <w:spacing w:after="120" w:before="0" w:line="270"/>
        <w:jc w:val="both"/>
      </w:pPr>
      <w:r>
        <w:rPr>
          <w:rFonts w:ascii="Arial" w:cs="Arial" w:eastAsia="Arial" w:hAnsi="Arial"/>
          <w:b w:val="false"/>
          <w:bCs w:val="false"/>
          <w:color w:val="000000"/>
          <w:sz w:val="20"/>
          <w:szCs w:val="20"/>
        </w:rPr>
        <w:t xml:space="preserve">La población está compuesta por los residentes de 16 a 30 años de Arequipa metropolitana que hayan adquirido un regalo en los últimos seis meses. Se aplican los siguientes criterios.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Criterio</w:t>
            </w:r>
          </w:p>
        </w:tc>
        <w:tc>
          <w:tcPr>
            <w:tcW w:type="dxa" w:w="68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Definición</w:t>
            </w:r>
          </w:p>
        </w:tc>
      </w:tr>
      <w:tr>
        <w:tc>
          <w:tcPr>
            <w:tcW w:type="dxa" w:w="2200"/>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Inclusión</w:t>
            </w:r>
          </w:p>
        </w:tc>
        <w:tc>
          <w:tcPr>
            <w:tcW w:type="dxa" w:w="68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Residir en Arequipa metropolitana, tener entre 16 y 30 años y haber comprado al menos un regalo en los últimos seis meses</w:t>
            </w:r>
          </w:p>
        </w:tc>
      </w:tr>
      <w:tr>
        <w:tc>
          <w:tcPr>
            <w:tcW w:type="dxa" w:w="22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Exclusión</w:t>
            </w:r>
          </w:p>
        </w:tc>
        <w:tc>
          <w:tcPr>
            <w:tcW w:type="dxa" w:w="68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Personas que no residen en la ciudad, quienes trabajan en la venta de artículos de regalo y quienes no hayan comprado un regalo en el período indicado</w:t>
            </w:r>
          </w:p>
        </w:tc>
      </w:tr>
      <w:tr>
        <w:tc>
          <w:tcPr>
            <w:tcW w:type="dxa" w:w="2200"/>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Dimensionamiento</w:t>
            </w:r>
          </w:p>
        </w:tc>
        <w:tc>
          <w:tcPr>
            <w:tcW w:type="dxa" w:w="68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[VERIFICAR: población de Arequipa metropolitana y proporción del grupo de 16 a 30 años, con la fuente y el año del dato. La tasa de incidencia de compra de regalos se estima a partir de la pregunta filtro del piloto.]</w:t>
            </w:r>
          </w:p>
        </w:tc>
      </w:tr>
    </w:tbl>
    <w:p>
      <w:pPr>
        <w:spacing w:after="100" w:before="200"/>
      </w:pPr>
      <w:r>
        <w:rPr>
          <w:rFonts w:ascii="Arial" w:cs="Arial" w:eastAsia="Arial" w:hAnsi="Arial"/>
          <w:b/>
          <w:bCs/>
          <w:color w:val="000000"/>
          <w:sz w:val="20"/>
          <w:szCs w:val="20"/>
        </w:rPr>
        <w:t xml:space="preserve">Tipo de muestreo</w:t>
      </w:r>
    </w:p>
    <w:p>
      <w:pPr>
        <w:spacing w:after="120" w:before="0" w:line="270"/>
        <w:jc w:val="both"/>
      </w:pPr>
      <w:r>
        <w:rPr>
          <w:rFonts w:ascii="Arial" w:cs="Arial" w:eastAsia="Arial" w:hAnsi="Arial"/>
          <w:b w:val="false"/>
          <w:bCs w:val="false"/>
          <w:color w:val="000000"/>
          <w:sz w:val="20"/>
          <w:szCs w:val="20"/>
        </w:rPr>
        <w:t xml:space="preserve">Se emplea un muestreo no probabilístico por cuotas. No se dispone de un marco muestral que liste a los individuos de la población, por lo que no es posible aplicar un procedimiento probabilístico. Las cuotas se establecen por grupo de edad y por sexo, de modo que la composición de la muestra reproduzca la de la población en esas dos variables de control. En consecuencia, los resultados describen a la muestra estudiada y no se generalizan a la población con un nivel de error estadístico formal, limitación que se declara en el apartado de alcance.</w:t>
      </w:r>
    </w:p>
    <w:p>
      <w:pPr>
        <w:spacing w:after="100" w:before="200"/>
      </w:pPr>
      <w:r>
        <w:rPr>
          <w:rFonts w:ascii="Arial" w:cs="Arial" w:eastAsia="Arial" w:hAnsi="Arial"/>
          <w:b/>
          <w:bCs/>
          <w:color w:val="000000"/>
          <w:sz w:val="20"/>
          <w:szCs w:val="20"/>
        </w:rPr>
        <w:t xml:space="preserve">Tamaño de la muestra</w:t>
      </w:r>
    </w:p>
    <w:p>
      <w:pPr>
        <w:spacing w:after="120" w:before="0" w:line="270"/>
        <w:jc w:val="both"/>
      </w:pPr>
      <w:r>
        <w:rPr>
          <w:rFonts w:ascii="Arial" w:cs="Arial" w:eastAsia="Arial" w:hAnsi="Arial"/>
          <w:b w:val="false"/>
          <w:bCs w:val="false"/>
          <w:color w:val="000000"/>
          <w:sz w:val="20"/>
          <w:szCs w:val="20"/>
        </w:rPr>
        <w:t xml:space="preserve">Al tratarse de una población superior a cien mil personas, se aplica la fórmula para población infinita:</w:t>
      </w:r>
    </w:p>
    <w:p>
      <w:pPr>
        <w:spacing w:after="120" w:before="0" w:line="270"/>
        <w:jc w:val="center"/>
      </w:pPr>
      <w:r>
        <w:rPr>
          <w:rFonts w:ascii="Arial" w:cs="Arial" w:eastAsia="Arial" w:hAnsi="Arial"/>
          <w:b/>
          <w:bCs/>
          <w:color w:val="000000"/>
          <w:sz w:val="20"/>
          <w:szCs w:val="20"/>
        </w:rPr>
        <w:t xml:space="preserve">n = Z² · p · q / e²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00"/>
      </w:tblGrid>
      <w:tr>
        <w:trPr>
          <w:tblHeader/>
        </w:trPr>
        <w:tc>
          <w:tcPr>
            <w:tcW w:type="dxa" w:w="23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Parámetro</w:t>
            </w:r>
          </w:p>
        </w:tc>
        <w:tc>
          <w:tcPr>
            <w:tcW w:type="dxa" w:w="23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Valor</w:t>
            </w:r>
          </w:p>
        </w:tc>
        <w:tc>
          <w:tcPr>
            <w:tcW w:type="dxa" w:w="44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Justificación</w:t>
            </w:r>
          </w:p>
        </w:tc>
      </w:tr>
      <w:tr>
        <w:tc>
          <w:tcPr>
            <w:tcW w:type="dxa" w:w="2300"/>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Z</w:t>
            </w:r>
          </w:p>
        </w:tc>
        <w:tc>
          <w:tcPr>
            <w:tcW w:type="dxa" w:w="23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1,96</w:t>
            </w:r>
          </w:p>
        </w:tc>
        <w:tc>
          <w:tcPr>
            <w:tcW w:type="dxa" w:w="44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Nivel de confianza del 95 por ciento</w:t>
            </w:r>
          </w:p>
        </w:tc>
      </w:tr>
      <w:tr>
        <w:tc>
          <w:tcPr>
            <w:tcW w:type="dxa" w:w="23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p</w:t>
            </w:r>
          </w:p>
        </w:tc>
        <w:tc>
          <w:tcPr>
            <w:tcW w:type="dxa" w:w="23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0,50</w:t>
            </w:r>
          </w:p>
        </w:tc>
        <w:tc>
          <w:tcPr>
            <w:tcW w:type="dxa" w:w="44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Máxima varianza posible, al no existir un estudio previo que permita estimar la proporción</w:t>
            </w:r>
          </w:p>
        </w:tc>
      </w:tr>
      <w:tr>
        <w:tc>
          <w:tcPr>
            <w:tcW w:type="dxa" w:w="2300"/>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q</w:t>
            </w:r>
          </w:p>
        </w:tc>
        <w:tc>
          <w:tcPr>
            <w:tcW w:type="dxa" w:w="23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0,50</w:t>
            </w:r>
          </w:p>
        </w:tc>
        <w:tc>
          <w:tcPr>
            <w:tcW w:type="dxa" w:w="44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Complemento de p</w:t>
            </w:r>
          </w:p>
        </w:tc>
      </w:tr>
      <w:tr>
        <w:tc>
          <w:tcPr>
            <w:tcW w:type="dxa" w:w="23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e</w:t>
            </w:r>
          </w:p>
        </w:tc>
        <w:tc>
          <w:tcPr>
            <w:tcW w:type="dxa" w:w="23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0,07</w:t>
            </w:r>
          </w:p>
        </w:tc>
        <w:tc>
          <w:tcPr>
            <w:tcW w:type="dxa" w:w="44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Margen de error del 7 por ciento, admisible para un estudio exploratorio con recursos limitados</w:t>
            </w:r>
          </w:p>
        </w:tc>
      </w:tr>
      <w:tr>
        <w:tc>
          <w:tcPr>
            <w:tcW w:type="dxa" w:w="2300"/>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n</w:t>
            </w:r>
          </w:p>
        </w:tc>
        <w:tc>
          <w:tcPr>
            <w:tcW w:type="dxa" w:w="23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196</w:t>
            </w:r>
          </w:p>
        </w:tc>
        <w:tc>
          <w:tcPr>
            <w:tcW w:type="dxa" w:w="44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Resultado del cálculo: (1,96² × 0,25) / 0,07² = 196</w:t>
            </w:r>
          </w:p>
        </w:tc>
      </w:tr>
    </w:tbl>
    <w:p>
      <w:pPr>
        <w:spacing w:after="130"/>
      </w:pPr>
      <w:r>
        <w:rPr>
          <w:rFonts w:ascii="Arial" w:cs="Arial" w:eastAsia="Arial" w:hAnsi="Arial"/>
          <w:b w:val="false"/>
          <w:bCs w:val="false"/>
          <w:color w:val="000000"/>
          <w:sz w:val="20"/>
          <w:szCs w:val="20"/>
        </w:rPr>
        <w:t xml:space="preserve"/>
      </w:r>
    </w:p>
    <w:p>
      <w:pPr>
        <w:spacing w:after="120" w:before="0" w:line="270"/>
        <w:jc w:val="both"/>
      </w:pPr>
      <w:r>
        <w:rPr>
          <w:rFonts w:ascii="Arial" w:cs="Arial" w:eastAsia="Arial" w:hAnsi="Arial"/>
          <w:b w:val="false"/>
          <w:bCs w:val="false"/>
          <w:color w:val="000000"/>
          <w:sz w:val="20"/>
          <w:szCs w:val="20"/>
        </w:rPr>
        <w:t xml:space="preserve">La muestra queda establecida en 196 encuestas válidas. Si el trabajo de campo cierra con 150 encuestas, el margen de error real asciende a 8 por ciento, valor que debe recalcularse y declararse en la ficha técnica del punto 2.3.</w:t>
      </w:r>
    </w:p>
    <w:p>
      <w:pPr>
        <w:spacing w:after="100" w:before="200"/>
      </w:pPr>
      <w:r>
        <w:rPr>
          <w:rFonts w:ascii="Arial" w:cs="Arial" w:eastAsia="Arial" w:hAnsi="Arial"/>
          <w:b/>
          <w:bCs/>
          <w:color w:val="000000"/>
          <w:sz w:val="20"/>
          <w:szCs w:val="20"/>
        </w:rPr>
        <w:t xml:space="preserve">Distribución por cuotas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Grupo de edad</w:t>
            </w:r>
          </w:p>
        </w:tc>
        <w:tc>
          <w:tcPr>
            <w:tcW w:type="dxa" w:w="22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Mujeres</w:t>
            </w:r>
          </w:p>
        </w:tc>
        <w:tc>
          <w:tcPr>
            <w:tcW w:type="dxa" w:w="22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Hombres</w:t>
            </w:r>
          </w:p>
        </w:tc>
        <w:tc>
          <w:tcPr>
            <w:tcW w:type="dxa" w:w="22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Subtotal</w:t>
            </w:r>
          </w:p>
        </w:tc>
      </w:tr>
      <w:tr>
        <w:tc>
          <w:tcPr>
            <w:tcW w:type="dxa" w:w="2400"/>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16 a 22 años</w:t>
            </w:r>
          </w:p>
        </w:tc>
        <w:tc>
          <w:tcPr>
            <w:tcW w:type="dxa" w:w="2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  ]</w:t>
            </w:r>
          </w:p>
        </w:tc>
        <w:tc>
          <w:tcPr>
            <w:tcW w:type="dxa" w:w="2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  ]</w:t>
            </w:r>
          </w:p>
        </w:tc>
        <w:tc>
          <w:tcPr>
            <w:tcW w:type="dxa" w:w="2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98</w:t>
            </w:r>
          </w:p>
        </w:tc>
      </w:tr>
      <w:tr>
        <w:tc>
          <w:tcPr>
            <w:tcW w:type="dxa" w:w="24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23 a 30 años</w:t>
            </w:r>
          </w:p>
        </w:tc>
        <w:tc>
          <w:tcPr>
            <w:tcW w:type="dxa" w:w="22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  ]</w:t>
            </w:r>
          </w:p>
        </w:tc>
        <w:tc>
          <w:tcPr>
            <w:tcW w:type="dxa" w:w="22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  ]</w:t>
            </w:r>
          </w:p>
        </w:tc>
        <w:tc>
          <w:tcPr>
            <w:tcW w:type="dxa" w:w="22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98</w:t>
            </w:r>
          </w:p>
        </w:tc>
      </w:tr>
      <w:tr>
        <w:tc>
          <w:tcPr>
            <w:tcW w:type="dxa" w:w="2400"/>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Total</w:t>
            </w:r>
          </w:p>
        </w:tc>
        <w:tc>
          <w:tcPr>
            <w:tcW w:type="dxa" w:w="2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  ]</w:t>
            </w:r>
          </w:p>
        </w:tc>
        <w:tc>
          <w:tcPr>
            <w:tcW w:type="dxa" w:w="2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  ]</w:t>
            </w:r>
          </w:p>
        </w:tc>
        <w:tc>
          <w:tcPr>
            <w:tcW w:type="dxa" w:w="2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196</w:t>
            </w:r>
          </w:p>
        </w:tc>
      </w:tr>
    </w:tbl>
    <w:p>
      <w:pPr>
        <w:pBdr>
          <w:left w:val="single" w:color="000000" w:sz="18"/>
        </w:pBdr>
        <w:shd w:fill="E7E6E6" w:color="auto" w:val="clear"/>
        <w:spacing w:after="140" w:before="60" w:line="260"/>
        <w:ind w:left="120" w:right="120"/>
        <w:jc w:val="both"/>
      </w:pPr>
      <w:r>
        <w:rPr>
          <w:rFonts w:ascii="Arial" w:cs="Arial" w:eastAsia="Arial" w:hAnsi="Arial"/>
          <w:b/>
          <w:bCs/>
          <w:color w:val="000000"/>
          <w:sz w:val="18"/>
          <w:szCs w:val="18"/>
        </w:rPr>
        <w:t xml:space="preserve">NOTA DEL DOCENTE.  </w:t>
      </w:r>
      <w:r>
        <w:rPr>
          <w:rFonts w:ascii="Arial" w:cs="Arial" w:eastAsia="Arial" w:hAnsi="Arial"/>
          <w:b w:val="false"/>
          <w:bCs w:val="false"/>
          <w:color w:val="000000"/>
          <w:sz w:val="18"/>
          <w:szCs w:val="18"/>
        </w:rPr>
        <w:t xml:space="preserve">La distribución interna de cada cuota se completa con la proporción real de la población, no en partes iguales. Si el equipo no consigue el dato poblacional por sexo, se reparte al cincuenta por ciento y se declara ese supuesto en las limitaciones.</w:t>
      </w:r>
    </w:p>
    <w:p>
      <w:pPr>
        <w:pBdr>
          <w:bottom w:val="single" w:color="000000" w:sz="8"/>
        </w:pBdr>
        <w:spacing w:after="130" w:before="280"/>
      </w:pPr>
      <w:r>
        <w:rPr>
          <w:rFonts w:ascii="Arial" w:cs="Arial" w:eastAsia="Arial" w:hAnsi="Arial"/>
          <w:b/>
          <w:bCs/>
          <w:color w:val="000000"/>
          <w:sz w:val="21"/>
          <w:szCs w:val="21"/>
        </w:rPr>
        <w:t xml:space="preserve">2.2.3. Diseño de instrumentos cuantitativos</w:t>
      </w:r>
    </w:p>
    <w:p>
      <w:pPr>
        <w:spacing w:after="120" w:before="0" w:line="270"/>
        <w:jc w:val="both"/>
      </w:pPr>
      <w:r>
        <w:rPr>
          <w:rFonts w:ascii="Arial" w:cs="Arial" w:eastAsia="Arial" w:hAnsi="Arial"/>
          <w:b w:val="false"/>
          <w:bCs w:val="false"/>
          <w:color w:val="000000"/>
          <w:sz w:val="20"/>
          <w:szCs w:val="20"/>
        </w:rPr>
        <w:t xml:space="preserve">El instrumento es un cuestionario estructurado autoadministrado, distribuido mediante formulario en línea y aplicado también de forma asistida en puntos de alto tránsito comercial. Se organiza en seis módulos, cada uno derivado de un objetivo específico.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3200"/>
        <w:gridCol w:w="2300"/>
      </w:tblGrid>
      <w:tr>
        <w:trPr>
          <w:tblHeader/>
        </w:trPr>
        <w:tc>
          <w:tcPr>
            <w:tcW w:type="dxa" w:w="14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Módulo</w:t>
            </w:r>
          </w:p>
        </w:tc>
        <w:tc>
          <w:tcPr>
            <w:tcW w:type="dxa" w:w="21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Objetivo que responde</w:t>
            </w:r>
          </w:p>
        </w:tc>
        <w:tc>
          <w:tcPr>
            <w:tcW w:type="dxa" w:w="32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Contenido</w:t>
            </w:r>
          </w:p>
        </w:tc>
        <w:tc>
          <w:tcPr>
            <w:tcW w:type="dxa" w:w="23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Tipos de pregunta y escalas</w:t>
            </w:r>
          </w:p>
        </w:tc>
      </w:tr>
      <w:tr>
        <w:tc>
          <w:tcPr>
            <w:tcW w:type="dxa" w:w="14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Filtro</w:t>
            </w:r>
          </w:p>
        </w:tc>
        <w:tc>
          <w:tcPr>
            <w:tcW w:type="dxa" w:w="21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w:t>
            </w:r>
          </w:p>
        </w:tc>
        <w:tc>
          <w:tcPr>
            <w:tcW w:type="dxa" w:w="3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Edad, residencia y compra de un regalo en los últimos seis meses</w:t>
            </w:r>
          </w:p>
        </w:tc>
        <w:tc>
          <w:tcPr>
            <w:tcW w:type="dxa" w:w="23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Cerradas de opción única. Descarte automático</w:t>
            </w:r>
          </w:p>
        </w:tc>
      </w:tr>
      <w:tr>
        <w:tc>
          <w:tcPr>
            <w:tcW w:type="dxa" w:w="14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A. Hábitos</w:t>
            </w:r>
          </w:p>
        </w:tc>
        <w:tc>
          <w:tcPr>
            <w:tcW w:type="dxa" w:w="21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OE1</w:t>
            </w:r>
          </w:p>
        </w:tc>
        <w:tc>
          <w:tcPr>
            <w:tcW w:type="dxa" w:w="32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Frecuencia, ocasión, lugar de compra y gasto promedio en regalos</w:t>
            </w:r>
          </w:p>
        </w:tc>
        <w:tc>
          <w:tcPr>
            <w:tcW w:type="dxa" w:w="23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Opción única, opción múltiple y rangos numéricos</w:t>
            </w:r>
          </w:p>
        </w:tc>
      </w:tr>
      <w:tr>
        <w:tc>
          <w:tcPr>
            <w:tcW w:type="dxa" w:w="14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B. Producto sustituto</w:t>
            </w:r>
          </w:p>
        </w:tc>
        <w:tc>
          <w:tcPr>
            <w:tcW w:type="dxa" w:w="21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OE2</w:t>
            </w:r>
          </w:p>
        </w:tc>
        <w:tc>
          <w:tcPr>
            <w:tcW w:type="dxa" w:w="3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Qué se compra hoy para esa ocasión, satisfacción y atributos valorados</w:t>
            </w:r>
          </w:p>
        </w:tc>
        <w:tc>
          <w:tcPr>
            <w:tcW w:type="dxa" w:w="23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Likert de 5 puntos</w:t>
            </w:r>
          </w:p>
        </w:tc>
      </w:tr>
      <w:tr>
        <w:tc>
          <w:tcPr>
            <w:tcW w:type="dxa" w:w="14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C. Imagen</w:t>
            </w:r>
          </w:p>
        </w:tc>
        <w:tc>
          <w:tcPr>
            <w:tcW w:type="dxa" w:w="21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OE3</w:t>
            </w:r>
          </w:p>
        </w:tc>
        <w:tc>
          <w:tcPr>
            <w:tcW w:type="dxa" w:w="32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Recordación espontánea y asistida de tiendas y marcas, atributos asociados</w:t>
            </w:r>
          </w:p>
        </w:tc>
        <w:tc>
          <w:tcPr>
            <w:tcW w:type="dxa" w:w="23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Abierta de respuesta corta y opción múltiple</w:t>
            </w:r>
          </w:p>
        </w:tc>
      </w:tr>
      <w:tr>
        <w:tc>
          <w:tcPr>
            <w:tcW w:type="dxa" w:w="14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D. Concepto</w:t>
            </w:r>
          </w:p>
        </w:tc>
        <w:tc>
          <w:tcPr>
            <w:tcW w:type="dxa" w:w="21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OE4 y OE5</w:t>
            </w:r>
          </w:p>
        </w:tc>
        <w:tc>
          <w:tcPr>
            <w:tcW w:type="dxa" w:w="3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Presentación del concepto con imagen, agrado, intención de compra, percepción del precio y disposición a pagar</w:t>
            </w:r>
          </w:p>
        </w:tc>
        <w:tc>
          <w:tcPr>
            <w:tcW w:type="dxa" w:w="23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Likert, escala de intención de 5 puntos, diferencial semántico y rangos en soles</w:t>
            </w:r>
          </w:p>
        </w:tc>
      </w:tr>
      <w:tr>
        <w:tc>
          <w:tcPr>
            <w:tcW w:type="dxa" w:w="14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E. Sostenibilidad</w:t>
            </w:r>
          </w:p>
        </w:tc>
        <w:tc>
          <w:tcPr>
            <w:tcW w:type="dxa" w:w="21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OE6</w:t>
            </w:r>
          </w:p>
        </w:tc>
        <w:tc>
          <w:tcPr>
            <w:tcW w:type="dxa" w:w="32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Importancia del material recuperado y disposición a pagar adicional por ese atributo</w:t>
            </w:r>
          </w:p>
        </w:tc>
        <w:tc>
          <w:tcPr>
            <w:tcW w:type="dxa" w:w="23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Likert de 5 puntos y rangos en soles</w:t>
            </w:r>
          </w:p>
        </w:tc>
      </w:tr>
      <w:tr>
        <w:tc>
          <w:tcPr>
            <w:tcW w:type="dxa" w:w="14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F. Demográficos</w:t>
            </w:r>
          </w:p>
        </w:tc>
        <w:tc>
          <w:tcPr>
            <w:tcW w:type="dxa" w:w="21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w:t>
            </w:r>
          </w:p>
        </w:tc>
        <w:tc>
          <w:tcPr>
            <w:tcW w:type="dxa" w:w="3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Sexo, distrito, ocupación y rango de edad</w:t>
            </w:r>
          </w:p>
        </w:tc>
        <w:tc>
          <w:tcPr>
            <w:tcW w:type="dxa" w:w="23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Opción única</w:t>
            </w:r>
          </w:p>
        </w:tc>
      </w:tr>
    </w:tbl>
    <w:p>
      <w:pPr>
        <w:spacing w:after="130"/>
      </w:pPr>
      <w:r>
        <w:rPr>
          <w:rFonts w:ascii="Arial" w:cs="Arial" w:eastAsia="Arial" w:hAnsi="Arial"/>
          <w:b w:val="false"/>
          <w:bCs w:val="false"/>
          <w:color w:val="000000"/>
          <w:sz w:val="20"/>
          <w:szCs w:val="20"/>
        </w:rPr>
        <w:t xml:space="preserve"/>
      </w:r>
    </w:p>
    <w:p>
      <w:pPr>
        <w:pBdr>
          <w:left w:val="single" w:color="000000" w:sz="18"/>
        </w:pBdr>
        <w:shd w:fill="E7E6E6" w:color="auto" w:val="clear"/>
        <w:spacing w:after="140" w:before="60" w:line="260"/>
        <w:ind w:left="120" w:right="120"/>
        <w:jc w:val="both"/>
      </w:pPr>
      <w:r>
        <w:rPr>
          <w:rFonts w:ascii="Arial" w:cs="Arial" w:eastAsia="Arial" w:hAnsi="Arial"/>
          <w:b/>
          <w:bCs/>
          <w:color w:val="000000"/>
          <w:sz w:val="18"/>
          <w:szCs w:val="18"/>
        </w:rPr>
        <w:t xml:space="preserve">NOTA DEL DOCENTE.  </w:t>
      </w:r>
      <w:r>
        <w:rPr>
          <w:rFonts w:ascii="Arial" w:cs="Arial" w:eastAsia="Arial" w:hAnsi="Arial"/>
          <w:b w:val="false"/>
          <w:bCs w:val="false"/>
          <w:color w:val="000000"/>
          <w:sz w:val="18"/>
          <w:szCs w:val="18"/>
        </w:rPr>
        <w:t xml:space="preserve">El módulo D es el que sostiene la decisión del proyecto y debe incluir la disposición a pagar en dos escenarios: con la entrega convencional y con el ritual de compra. Sin esa comparación, la propuesta de experiencia queda sin evidencia. La disposición a pagar se pregunta siempre en rangos y nunca con una pregunta abierta del tipo cuánto pagaría.</w:t>
      </w:r>
    </w:p>
    <w:p>
      <w:r>
        <w:br w:type="page"/>
      </w:r>
    </w:p>
    <w:p>
      <w:pPr>
        <w:shd w:fill="000000" w:color="auto" w:val="clear"/>
        <w:spacing w:after="170" w:before="260"/>
        <w:jc w:val="center"/>
      </w:pPr>
      <w:r>
        <w:rPr>
          <w:rFonts w:ascii="Arial" w:cs="Arial" w:eastAsia="Arial" w:hAnsi="Arial"/>
          <w:b/>
          <w:bCs/>
          <w:color w:val="FFFFFF"/>
          <w:sz w:val="21"/>
          <w:szCs w:val="21"/>
        </w:rPr>
        <w:t xml:space="preserve">EQUIPO 2 · CUADERNO MODULAR RECARGABLE PARA ESCOLARES</w:t>
      </w:r>
    </w:p>
    <w:p>
      <w:pPr>
        <w:pBdr>
          <w:bottom w:val="single" w:color="000000" w:sz="8"/>
        </w:pBdr>
        <w:spacing w:after="130" w:before="280"/>
      </w:pPr>
      <w:r>
        <w:rPr>
          <w:rFonts w:ascii="Arial" w:cs="Arial" w:eastAsia="Arial" w:hAnsi="Arial"/>
          <w:b/>
          <w:bCs/>
          <w:color w:val="000000"/>
          <w:sz w:val="21"/>
          <w:szCs w:val="21"/>
        </w:rPr>
        <w:t xml:space="preserve">2.2. Método de investigación</w:t>
      </w:r>
    </w:p>
    <w:p>
      <w:pPr>
        <w:spacing w:after="120" w:before="0" w:line="270"/>
        <w:jc w:val="both"/>
      </w:pPr>
      <w:r>
        <w:rPr>
          <w:rFonts w:ascii="Arial" w:cs="Arial" w:eastAsia="Arial" w:hAnsi="Arial"/>
          <w:b w:val="false"/>
          <w:bCs w:val="false"/>
          <w:color w:val="000000"/>
          <w:sz w:val="20"/>
          <w:szCs w:val="20"/>
        </w:rPr>
        <w:t xml:space="preserve">El estudio adopta un enfoque mixto. El componente cualitativo recoge, mediante entrevistas a padres de familia y a personal de librería, las razones de elección y de descarte que no se declaran en una encuesta. El componente cuantitativo, desarrollado en este apartado, mide el consumo de cuadernos por año, el gasto en campaña escolar, la percepción de la calidad del papel y la disposición a pagar por un sistema de tapa reutilizable con recargas.</w:t>
      </w:r>
    </w:p>
    <w:p>
      <w:pPr>
        <w:spacing w:after="120" w:before="0" w:line="270"/>
        <w:jc w:val="both"/>
      </w:pPr>
      <w:r>
        <w:rPr>
          <w:rFonts w:ascii="Arial" w:cs="Arial" w:eastAsia="Arial" w:hAnsi="Arial"/>
          <w:b w:val="false"/>
          <w:bCs w:val="false"/>
          <w:color w:val="000000"/>
          <w:sz w:val="20"/>
          <w:szCs w:val="20"/>
        </w:rPr>
        <w:t xml:space="preserve">La investigación es de tipo descriptiva, con un componente correlacional que contrasta la relación entre el gasto declarado en campaña escolar y la disposición a pagar por la tapa. El diseño es no experimental y transversal, con recolección en un único momento, entre el 8 y el 15 de setiembre de 2026.</w:t>
      </w:r>
    </w:p>
    <w:p>
      <w:pPr>
        <w:pBdr>
          <w:bottom w:val="single" w:color="000000" w:sz="8"/>
        </w:pBdr>
        <w:spacing w:after="130" w:before="280"/>
      </w:pPr>
      <w:r>
        <w:rPr>
          <w:rFonts w:ascii="Arial" w:cs="Arial" w:eastAsia="Arial" w:hAnsi="Arial"/>
          <w:b/>
          <w:bCs/>
          <w:color w:val="000000"/>
          <w:sz w:val="21"/>
          <w:szCs w:val="21"/>
        </w:rPr>
        <w:t xml:space="preserve">2.2.1. Planteamiento del problema, variables e hipótesis</w:t>
      </w:r>
    </w:p>
    <w:p>
      <w:pPr>
        <w:spacing w:after="100" w:before="200"/>
      </w:pPr>
      <w:r>
        <w:rPr>
          <w:rFonts w:ascii="Arial" w:cs="Arial" w:eastAsia="Arial" w:hAnsi="Arial"/>
          <w:b/>
          <w:bCs/>
          <w:color w:val="000000"/>
          <w:sz w:val="20"/>
          <w:szCs w:val="20"/>
        </w:rPr>
        <w:t xml:space="preserve">Situación problemática</w:t>
      </w:r>
    </w:p>
    <w:p>
      <w:pPr>
        <w:spacing w:after="120" w:before="0" w:line="270"/>
        <w:jc w:val="both"/>
      </w:pPr>
      <w:r>
        <w:rPr>
          <w:rFonts w:ascii="Arial" w:cs="Arial" w:eastAsia="Arial" w:hAnsi="Arial"/>
          <w:b w:val="false"/>
          <w:bCs w:val="false"/>
          <w:color w:val="000000"/>
          <w:sz w:val="20"/>
          <w:szCs w:val="20"/>
        </w:rPr>
        <w:t xml:space="preserve">El estudiante de secundaria utiliza varios cuadernos por año escolar y los descarta al terminar el período con una parte de sus hojas sin usar, porque la tapa y las hojas forman un solo cuerpo inseparable. El gasto se repite íntegramente en cada campaña escolar y el papel en buen estado se convierte en residuo. A ello se suma que el cuaderno económico de importación emplea papel de bajo gramaje que traspasa y se rasga, mientras que el de marca reconocida cuesta más y sigue siendo desechable. [VERIFICAR: confirmar en al menos tres listas de útiles reales de colegios de la ciudad que se exige un cuaderno por curso, y adjuntarlas en anexos. Este hecho es el que sostiene toda la propuesta.]</w:t>
      </w:r>
    </w:p>
    <w:p>
      <w:pPr>
        <w:spacing w:after="100" w:before="200"/>
      </w:pPr>
      <w:r>
        <w:rPr>
          <w:rFonts w:ascii="Arial" w:cs="Arial" w:eastAsia="Arial" w:hAnsi="Arial"/>
          <w:b/>
          <w:bCs/>
          <w:color w:val="000000"/>
          <w:sz w:val="20"/>
          <w:szCs w:val="20"/>
        </w:rPr>
        <w:t xml:space="preserve">Problema de decisión gerencial</w:t>
      </w:r>
    </w:p>
    <w:p>
      <w:pPr>
        <w:spacing w:after="120" w:before="0" w:line="270"/>
        <w:jc w:val="both"/>
      </w:pPr>
      <w:r>
        <w:rPr>
          <w:rFonts w:ascii="Arial" w:cs="Arial" w:eastAsia="Arial" w:hAnsi="Arial"/>
          <w:b w:val="false"/>
          <w:bCs w:val="false"/>
          <w:color w:val="000000"/>
          <w:sz w:val="20"/>
          <w:szCs w:val="20"/>
        </w:rPr>
        <w:t xml:space="preserve">¿Conviene lanzar al mercado escolar arequipeño un sistema de tapa reutilizable con recargas de papel vendidas por separado en librerías, y a qué precio se ofrece cada componente?</w:t>
      </w:r>
    </w:p>
    <w:p>
      <w:pPr>
        <w:spacing w:after="100" w:before="200"/>
      </w:pPr>
      <w:r>
        <w:rPr>
          <w:rFonts w:ascii="Arial" w:cs="Arial" w:eastAsia="Arial" w:hAnsi="Arial"/>
          <w:b/>
          <w:bCs/>
          <w:color w:val="000000"/>
          <w:sz w:val="20"/>
          <w:szCs w:val="20"/>
        </w:rPr>
        <w:t xml:space="preserve">Problema de investigación de mercados</w:t>
      </w:r>
    </w:p>
    <w:p>
      <w:pPr>
        <w:spacing w:after="120" w:before="0" w:line="270"/>
        <w:jc w:val="both"/>
      </w:pPr>
      <w:r>
        <w:rPr>
          <w:rFonts w:ascii="Arial" w:cs="Arial" w:eastAsia="Arial" w:hAnsi="Arial"/>
          <w:b w:val="false"/>
          <w:bCs w:val="false"/>
          <w:color w:val="000000"/>
          <w:sz w:val="20"/>
          <w:szCs w:val="20"/>
        </w:rPr>
        <w:t xml:space="preserve">¿Cuál es el número de cuadernos adquiridos por año, el gasto en campaña escolar, la proporción de hojas no utilizadas al momento del descarte y la disposición a pagar por un sistema de tapa reutilizable con recargas, en los padres de escolares de secundaria de Arequipa metropolitana durante setiembre de 2026, para decidir el lanzamiento del sistema?</w:t>
      </w:r>
    </w:p>
    <w:p>
      <w:pPr>
        <w:spacing w:after="130"/>
      </w:pPr>
      <w:r>
        <w:rPr>
          <w:rFonts w:ascii="Arial" w:cs="Arial" w:eastAsia="Arial" w:hAnsi="Arial"/>
          <w:b w:val="false"/>
          <w:bCs w:val="false"/>
          <w:color w:val="000000"/>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Pilar</w:t>
            </w:r>
          </w:p>
        </w:tc>
        <w:tc>
          <w:tcPr>
            <w:tcW w:type="dxa" w:w="71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Contenido</w:t>
            </w:r>
          </w:p>
        </w:tc>
      </w:tr>
      <w:tr>
        <w:tc>
          <w:tcPr>
            <w:tcW w:type="dxa" w:w="1900"/>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1. ¿Qué medir?</w:t>
            </w:r>
          </w:p>
        </w:tc>
        <w:tc>
          <w:tcPr>
            <w:tcW w:type="dxa" w:w="71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Número de cuadernos por año, gasto en campaña escolar, proporción de hojas no utilizadas, percepción de la calidad del papel y disposición a pagar por la tapa y por la recarga</w:t>
            </w:r>
          </w:p>
        </w:tc>
      </w:tr>
      <w:tr>
        <w:tc>
          <w:tcPr>
            <w:tcW w:type="dxa" w:w="19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2. ¿De quién?</w:t>
            </w:r>
          </w:p>
        </w:tc>
        <w:tc>
          <w:tcPr>
            <w:tcW w:type="dxa" w:w="71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Padres de familia de escolares de secundaria, en su condición de decisores de compra</w:t>
            </w:r>
          </w:p>
        </w:tc>
      </w:tr>
      <w:tr>
        <w:tc>
          <w:tcPr>
            <w:tcW w:type="dxa" w:w="1900"/>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3. ¿Dónde?</w:t>
            </w:r>
          </w:p>
        </w:tc>
        <w:tc>
          <w:tcPr>
            <w:tcW w:type="dxa" w:w="71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Arequipa metropolitana</w:t>
            </w:r>
          </w:p>
        </w:tc>
      </w:tr>
      <w:tr>
        <w:tc>
          <w:tcPr>
            <w:tcW w:type="dxa" w:w="19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4. ¿Cuándo?</w:t>
            </w:r>
          </w:p>
        </w:tc>
        <w:tc>
          <w:tcPr>
            <w:tcW w:type="dxa" w:w="71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Setiembre de 2026</w:t>
            </w:r>
          </w:p>
        </w:tc>
      </w:tr>
      <w:tr>
        <w:tc>
          <w:tcPr>
            <w:tcW w:type="dxa" w:w="1900"/>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5. ¿Para qué decisión?</w:t>
            </w:r>
          </w:p>
        </w:tc>
        <w:tc>
          <w:tcPr>
            <w:tcW w:type="dxa" w:w="71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Decidir el lanzamiento del sistema y fijar el precio de la tapa y de la recarga</w:t>
            </w:r>
          </w:p>
        </w:tc>
      </w:tr>
    </w:tbl>
    <w:p>
      <w:pPr>
        <w:spacing w:after="100" w:before="200"/>
      </w:pPr>
      <w:r>
        <w:rPr>
          <w:rFonts w:ascii="Arial" w:cs="Arial" w:eastAsia="Arial" w:hAnsi="Arial"/>
          <w:b/>
          <w:bCs/>
          <w:color w:val="000000"/>
          <w:sz w:val="20"/>
          <w:szCs w:val="20"/>
        </w:rPr>
        <w:t xml:space="preserve">Objetivo general</w:t>
      </w:r>
    </w:p>
    <w:p>
      <w:pPr>
        <w:spacing w:after="120" w:before="0" w:line="270"/>
        <w:jc w:val="both"/>
      </w:pPr>
      <w:r>
        <w:rPr>
          <w:rFonts w:ascii="Arial" w:cs="Arial" w:eastAsia="Arial" w:hAnsi="Arial"/>
          <w:b w:val="false"/>
          <w:bCs w:val="false"/>
          <w:color w:val="000000"/>
          <w:sz w:val="20"/>
          <w:szCs w:val="20"/>
        </w:rPr>
        <w:t xml:space="preserve">Determinar el número de cuadernos adquiridos por año, el gasto en campaña escolar, la proporción de hojas no utilizadas al momento del descarte y la disposición a pagar por un sistema de tapa reutilizable con recargas, en los padres de escolares de secundaria de Arequipa metropolitana durante setiembre de 2026.</w:t>
      </w:r>
    </w:p>
    <w:p>
      <w:pPr>
        <w:spacing w:after="100" w:before="200"/>
      </w:pPr>
      <w:r>
        <w:rPr>
          <w:rFonts w:ascii="Arial" w:cs="Arial" w:eastAsia="Arial" w:hAnsi="Arial"/>
          <w:b/>
          <w:bCs/>
          <w:color w:val="000000"/>
          <w:sz w:val="20"/>
          <w:szCs w:val="20"/>
        </w:rPr>
        <w:t xml:space="preserve">Objetivos específicos</w:t>
      </w:r>
    </w:p>
    <w:p>
      <w:pPr>
        <w:spacing w:after="120" w:before="0" w:line="270"/>
        <w:jc w:val="both"/>
      </w:pPr>
      <w:r>
        <w:rPr>
          <w:rFonts w:ascii="Arial" w:cs="Arial" w:eastAsia="Arial" w:hAnsi="Arial"/>
          <w:b/>
          <w:bCs/>
          <w:color w:val="000000"/>
          <w:sz w:val="20"/>
          <w:szCs w:val="20"/>
        </w:rPr>
        <w:t xml:space="preserve">OE1.   </w:t>
      </w:r>
      <w:r>
        <w:rPr>
          <w:rFonts w:ascii="Arial" w:cs="Arial" w:eastAsia="Arial" w:hAnsi="Arial"/>
          <w:b w:val="false"/>
          <w:bCs w:val="false"/>
          <w:color w:val="000000"/>
          <w:sz w:val="20"/>
          <w:szCs w:val="20"/>
        </w:rPr>
        <w:t xml:space="preserve">Identificar los hábitos de compra de útiles escolares de los padres de escolares de secundaria: número de cuadernos por año, momento de compra, lugar y gasto en campaña escolar.</w:t>
      </w:r>
    </w:p>
    <w:p>
      <w:pPr>
        <w:spacing w:after="120" w:before="0" w:line="270"/>
        <w:jc w:val="both"/>
      </w:pPr>
      <w:r>
        <w:rPr>
          <w:rFonts w:ascii="Arial" w:cs="Arial" w:eastAsia="Arial" w:hAnsi="Arial"/>
          <w:b/>
          <w:bCs/>
          <w:color w:val="000000"/>
          <w:sz w:val="20"/>
          <w:szCs w:val="20"/>
        </w:rPr>
        <w:t xml:space="preserve">OE2.   </w:t>
      </w:r>
      <w:r>
        <w:rPr>
          <w:rFonts w:ascii="Arial" w:cs="Arial" w:eastAsia="Arial" w:hAnsi="Arial"/>
          <w:b w:val="false"/>
          <w:bCs w:val="false"/>
          <w:color w:val="000000"/>
          <w:sz w:val="20"/>
          <w:szCs w:val="20"/>
        </w:rPr>
        <w:t xml:space="preserve">Evaluar la percepción de la calidad del papel y los criterios de elección de marca del cuaderno que se adquiere actualmente.</w:t>
      </w:r>
    </w:p>
    <w:p>
      <w:pPr>
        <w:spacing w:after="120" w:before="0" w:line="270"/>
        <w:jc w:val="both"/>
      </w:pPr>
      <w:r>
        <w:rPr>
          <w:rFonts w:ascii="Arial" w:cs="Arial" w:eastAsia="Arial" w:hAnsi="Arial"/>
          <w:b/>
          <w:bCs/>
          <w:color w:val="000000"/>
          <w:sz w:val="20"/>
          <w:szCs w:val="20"/>
        </w:rPr>
        <w:t xml:space="preserve">OE3.   </w:t>
      </w:r>
      <w:r>
        <w:rPr>
          <w:rFonts w:ascii="Arial" w:cs="Arial" w:eastAsia="Arial" w:hAnsi="Arial"/>
          <w:b w:val="false"/>
          <w:bCs w:val="false"/>
          <w:color w:val="000000"/>
          <w:sz w:val="20"/>
          <w:szCs w:val="20"/>
        </w:rPr>
        <w:t xml:space="preserve">Determinar la proporción de hojas no utilizadas al momento del descarte y el destino que se da al cuaderno al terminar el año escolar.</w:t>
      </w:r>
    </w:p>
    <w:p>
      <w:pPr>
        <w:spacing w:after="120" w:before="0" w:line="270"/>
        <w:jc w:val="both"/>
      </w:pPr>
      <w:r>
        <w:rPr>
          <w:rFonts w:ascii="Arial" w:cs="Arial" w:eastAsia="Arial" w:hAnsi="Arial"/>
          <w:b/>
          <w:bCs/>
          <w:color w:val="000000"/>
          <w:sz w:val="20"/>
          <w:szCs w:val="20"/>
        </w:rPr>
        <w:t xml:space="preserve">OE4.   </w:t>
      </w:r>
      <w:r>
        <w:rPr>
          <w:rFonts w:ascii="Arial" w:cs="Arial" w:eastAsia="Arial" w:hAnsi="Arial"/>
          <w:b w:val="false"/>
          <w:bCs w:val="false"/>
          <w:color w:val="000000"/>
          <w:sz w:val="20"/>
          <w:szCs w:val="20"/>
        </w:rPr>
        <w:t xml:space="preserve">Medir la aceptación del formato desmontable y la intención de compra del sistema propuesto.</w:t>
      </w:r>
    </w:p>
    <w:p>
      <w:pPr>
        <w:spacing w:after="120" w:before="0" w:line="270"/>
        <w:jc w:val="both"/>
      </w:pPr>
      <w:r>
        <w:rPr>
          <w:rFonts w:ascii="Arial" w:cs="Arial" w:eastAsia="Arial" w:hAnsi="Arial"/>
          <w:b/>
          <w:bCs/>
          <w:color w:val="000000"/>
          <w:sz w:val="20"/>
          <w:szCs w:val="20"/>
        </w:rPr>
        <w:t xml:space="preserve">OE5.   </w:t>
      </w:r>
      <w:r>
        <w:rPr>
          <w:rFonts w:ascii="Arial" w:cs="Arial" w:eastAsia="Arial" w:hAnsi="Arial"/>
          <w:b w:val="false"/>
          <w:bCs w:val="false"/>
          <w:color w:val="000000"/>
          <w:sz w:val="20"/>
          <w:szCs w:val="20"/>
        </w:rPr>
        <w:t xml:space="preserve">Establecer la disposición a pagar por la tapa reutilizable y el precio esperado de la recarga.</w:t>
      </w:r>
    </w:p>
    <w:p>
      <w:pPr>
        <w:spacing w:after="120" w:before="0" w:line="270"/>
        <w:jc w:val="both"/>
      </w:pPr>
      <w:r>
        <w:rPr>
          <w:rFonts w:ascii="Arial" w:cs="Arial" w:eastAsia="Arial" w:hAnsi="Arial"/>
          <w:b/>
          <w:bCs/>
          <w:color w:val="000000"/>
          <w:sz w:val="20"/>
          <w:szCs w:val="20"/>
        </w:rPr>
        <w:t xml:space="preserve">OE6.   </w:t>
      </w:r>
      <w:r>
        <w:rPr>
          <w:rFonts w:ascii="Arial" w:cs="Arial" w:eastAsia="Arial" w:hAnsi="Arial"/>
          <w:b w:val="false"/>
          <w:bCs w:val="false"/>
          <w:color w:val="000000"/>
          <w:sz w:val="20"/>
          <w:szCs w:val="20"/>
        </w:rPr>
        <w:t xml:space="preserve">Medir la importancia asignada a la reducción de residuos de papel en la decisión de compra de útiles escolares.</w:t>
      </w:r>
    </w:p>
    <w:p>
      <w:pPr>
        <w:spacing w:after="100" w:before="200"/>
      </w:pPr>
      <w:r>
        <w:rPr>
          <w:rFonts w:ascii="Arial" w:cs="Arial" w:eastAsia="Arial" w:hAnsi="Arial"/>
          <w:b/>
          <w:bCs/>
          <w:color w:val="000000"/>
          <w:sz w:val="20"/>
          <w:szCs w:val="20"/>
        </w:rPr>
        <w:t xml:space="preserve">Variables del estudio</w:t>
      </w:r>
    </w:p>
    <w:p>
      <w:pPr>
        <w:spacing w:after="120" w:before="0" w:line="270"/>
        <w:jc w:val="both"/>
      </w:pPr>
      <w:r>
        <w:rPr>
          <w:rFonts w:ascii="Arial" w:cs="Arial" w:eastAsia="Arial" w:hAnsi="Arial"/>
          <w:b w:val="false"/>
          <w:bCs w:val="false"/>
          <w:color w:val="000000"/>
          <w:sz w:val="20"/>
          <w:szCs w:val="20"/>
        </w:rPr>
        <w:t xml:space="preserve">Tabla 4. Variables de estudio del equipo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400"/>
        <w:gridCol w:w="2600"/>
      </w:tblGrid>
      <w:tr>
        <w:trPr>
          <w:tblHeader/>
        </w:trPr>
        <w:tc>
          <w:tcPr>
            <w:tcW w:type="dxa" w:w="12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Tipo</w:t>
            </w:r>
          </w:p>
        </w:tc>
        <w:tc>
          <w:tcPr>
            <w:tcW w:type="dxa" w:w="18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Variable</w:t>
            </w:r>
          </w:p>
        </w:tc>
        <w:tc>
          <w:tcPr>
            <w:tcW w:type="dxa" w:w="34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Definición operativa (indicador)</w:t>
            </w:r>
          </w:p>
        </w:tc>
        <w:tc>
          <w:tcPr>
            <w:tcW w:type="dxa" w:w="26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Nivel de medición</w:t>
            </w:r>
          </w:p>
        </w:tc>
      </w:tr>
      <w:tr>
        <w:tc>
          <w:tcPr>
            <w:tcW w:type="dxa" w:w="1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VD</w:t>
            </w:r>
          </w:p>
        </w:tc>
        <w:tc>
          <w:tcPr>
            <w:tcW w:type="dxa" w:w="18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Intención de compra del sistema</w:t>
            </w:r>
          </w:p>
        </w:tc>
        <w:tc>
          <w:tcPr>
            <w:tcW w:type="dxa" w:w="34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Probabilidad declarada de adquirir el sistema de tapa y recarga en la próxima campaña escolar</w:t>
            </w:r>
          </w:p>
        </w:tc>
        <w:tc>
          <w:tcPr>
            <w:tcW w:type="dxa" w:w="26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Intervalo. Escala de intención de compra de 5 puntos</w:t>
            </w:r>
          </w:p>
        </w:tc>
      </w:tr>
      <w:tr>
        <w:tc>
          <w:tcPr>
            <w:tcW w:type="dxa" w:w="12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VI 1</w:t>
            </w:r>
          </w:p>
        </w:tc>
        <w:tc>
          <w:tcPr>
            <w:tcW w:type="dxa" w:w="18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Número de cuadernos por año</w:t>
            </w:r>
          </w:p>
        </w:tc>
        <w:tc>
          <w:tcPr>
            <w:tcW w:type="dxa" w:w="34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Cantidad de cuadernos adquiridos por hijo durante el último año escolar</w:t>
            </w:r>
          </w:p>
        </w:tc>
        <w:tc>
          <w:tcPr>
            <w:tcW w:type="dxa" w:w="26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Razón. Respuesta numérica</w:t>
            </w:r>
          </w:p>
        </w:tc>
      </w:tr>
      <w:tr>
        <w:tc>
          <w:tcPr>
            <w:tcW w:type="dxa" w:w="1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VI 2</w:t>
            </w:r>
          </w:p>
        </w:tc>
        <w:tc>
          <w:tcPr>
            <w:tcW w:type="dxa" w:w="18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Gasto en campaña escolar</w:t>
            </w:r>
          </w:p>
        </w:tc>
        <w:tc>
          <w:tcPr>
            <w:tcW w:type="dxa" w:w="34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Monto declarado destinado a útiles escolares en la última campaña</w:t>
            </w:r>
          </w:p>
        </w:tc>
        <w:tc>
          <w:tcPr>
            <w:tcW w:type="dxa" w:w="26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Razón. Rangos en soles</w:t>
            </w:r>
          </w:p>
        </w:tc>
      </w:tr>
      <w:tr>
        <w:tc>
          <w:tcPr>
            <w:tcW w:type="dxa" w:w="12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VI 3</w:t>
            </w:r>
          </w:p>
        </w:tc>
        <w:tc>
          <w:tcPr>
            <w:tcW w:type="dxa" w:w="18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Percepción de la calidad del papel</w:t>
            </w:r>
          </w:p>
        </w:tc>
        <w:tc>
          <w:tcPr>
            <w:tcW w:type="dxa" w:w="34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Grado de acuerdo con que el papel del cuaderno que compra habitualmente es de buena calidad</w:t>
            </w:r>
          </w:p>
        </w:tc>
        <w:tc>
          <w:tcPr>
            <w:tcW w:type="dxa" w:w="26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Intervalo. Likert de 5 puntos</w:t>
            </w:r>
          </w:p>
        </w:tc>
      </w:tr>
      <w:tr>
        <w:tc>
          <w:tcPr>
            <w:tcW w:type="dxa" w:w="1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VI 4</w:t>
            </w:r>
          </w:p>
        </w:tc>
        <w:tc>
          <w:tcPr>
            <w:tcW w:type="dxa" w:w="18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Proporción de hojas no utilizadas</w:t>
            </w:r>
          </w:p>
        </w:tc>
        <w:tc>
          <w:tcPr>
            <w:tcW w:type="dxa" w:w="34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Porcentaje estimado de hojas en blanco al descartar el cuaderno</w:t>
            </w:r>
          </w:p>
        </w:tc>
        <w:tc>
          <w:tcPr>
            <w:tcW w:type="dxa" w:w="26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Razón. Rangos porcentuales</w:t>
            </w:r>
          </w:p>
        </w:tc>
      </w:tr>
      <w:tr>
        <w:tc>
          <w:tcPr>
            <w:tcW w:type="dxa" w:w="12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VI 5</w:t>
            </w:r>
          </w:p>
        </w:tc>
        <w:tc>
          <w:tcPr>
            <w:tcW w:type="dxa" w:w="18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Disposición a pagar por la tapa</w:t>
            </w:r>
          </w:p>
        </w:tc>
        <w:tc>
          <w:tcPr>
            <w:tcW w:type="dxa" w:w="34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Rango de precio declarado para la tapa reutilizable</w:t>
            </w:r>
          </w:p>
        </w:tc>
        <w:tc>
          <w:tcPr>
            <w:tcW w:type="dxa" w:w="26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Razón. Rangos en soles</w:t>
            </w:r>
          </w:p>
        </w:tc>
      </w:tr>
      <w:tr>
        <w:tc>
          <w:tcPr>
            <w:tcW w:type="dxa" w:w="1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VI 6</w:t>
            </w:r>
          </w:p>
        </w:tc>
        <w:tc>
          <w:tcPr>
            <w:tcW w:type="dxa" w:w="18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Disposición a pagar por la recarga</w:t>
            </w:r>
          </w:p>
        </w:tc>
        <w:tc>
          <w:tcPr>
            <w:tcW w:type="dxa" w:w="34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Rango de precio declarado para el bloque de recarga</w:t>
            </w:r>
          </w:p>
        </w:tc>
        <w:tc>
          <w:tcPr>
            <w:tcW w:type="dxa" w:w="26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Razón. Rangos en soles</w:t>
            </w:r>
          </w:p>
        </w:tc>
      </w:tr>
      <w:tr>
        <w:tc>
          <w:tcPr>
            <w:tcW w:type="dxa" w:w="12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VI 7</w:t>
            </w:r>
          </w:p>
        </w:tc>
        <w:tc>
          <w:tcPr>
            <w:tcW w:type="dxa" w:w="18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Tipo de gestión del colegio</w:t>
            </w:r>
          </w:p>
        </w:tc>
        <w:tc>
          <w:tcPr>
            <w:tcW w:type="dxa" w:w="34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Colegio público o privado al que asiste el hijo</w:t>
            </w:r>
          </w:p>
        </w:tc>
        <w:tc>
          <w:tcPr>
            <w:tcW w:type="dxa" w:w="26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Nominal. Opción única</w:t>
            </w:r>
          </w:p>
        </w:tc>
      </w:tr>
    </w:tbl>
    <w:p>
      <w:pPr>
        <w:spacing w:after="100" w:before="200"/>
      </w:pPr>
      <w:r>
        <w:rPr>
          <w:rFonts w:ascii="Arial" w:cs="Arial" w:eastAsia="Arial" w:hAnsi="Arial"/>
          <w:b/>
          <w:bCs/>
          <w:color w:val="000000"/>
          <w:sz w:val="20"/>
          <w:szCs w:val="20"/>
        </w:rPr>
        <w:t xml:space="preserve">Hipótesis</w:t>
      </w:r>
    </w:p>
    <w:p>
      <w:pPr>
        <w:spacing w:after="120" w:before="0" w:line="270"/>
        <w:jc w:val="both"/>
      </w:pPr>
      <w:r>
        <w:rPr>
          <w:rFonts w:ascii="Arial" w:cs="Arial" w:eastAsia="Arial" w:hAnsi="Arial"/>
          <w:b/>
          <w:bCs/>
          <w:color w:val="000000"/>
          <w:sz w:val="20"/>
          <w:szCs w:val="20"/>
        </w:rPr>
        <w:t xml:space="preserve">Hipótesis de investigación (Ha). </w:t>
      </w:r>
      <w:r>
        <w:rPr>
          <w:rFonts w:ascii="Arial" w:cs="Arial" w:eastAsia="Arial" w:hAnsi="Arial"/>
          <w:b w:val="false"/>
          <w:bCs w:val="false"/>
          <w:color w:val="000000"/>
          <w:sz w:val="20"/>
          <w:szCs w:val="20"/>
        </w:rPr>
        <w:t xml:space="preserve">El gasto declarado en campaña escolar influye de manera directa y positiva en la disposición a pagar por la tapa reutilizable, en los padres de escolares de secundaria de Arequipa metropolitana durante setiembre de 2026.</w:t>
      </w:r>
    </w:p>
    <w:p>
      <w:pPr>
        <w:spacing w:after="120" w:before="0" w:line="270"/>
        <w:jc w:val="both"/>
      </w:pPr>
      <w:r>
        <w:rPr>
          <w:rFonts w:ascii="Arial" w:cs="Arial" w:eastAsia="Arial" w:hAnsi="Arial"/>
          <w:b/>
          <w:bCs/>
          <w:color w:val="000000"/>
          <w:sz w:val="20"/>
          <w:szCs w:val="20"/>
        </w:rPr>
        <w:t xml:space="preserve">Contraste de diferencia de medias. </w:t>
      </w:r>
      <w:r>
        <w:rPr>
          <w:rFonts w:ascii="Arial" w:cs="Arial" w:eastAsia="Arial" w:hAnsi="Arial"/>
          <w:b w:val="false"/>
          <w:bCs w:val="false"/>
          <w:color w:val="000000"/>
          <w:sz w:val="20"/>
          <w:szCs w:val="20"/>
        </w:rPr>
        <w:t xml:space="preserve">H0: la disposición a pagar promedio por la tapa reutilizable es idéntica entre los padres de escolares de colegio público y los de colegio privado (µ1 = µ2). Ha: la disposición a pagar promedio difiere entre ambos grupos (µ1 ≠ µ2). El contraste se realiza mediante la prueba T de Student para muestras independientes.</w:t>
      </w:r>
    </w:p>
    <w:p>
      <w:pPr>
        <w:spacing w:after="120" w:before="0" w:line="270"/>
        <w:jc w:val="both"/>
      </w:pPr>
      <w:r>
        <w:rPr>
          <w:rFonts w:ascii="Arial" w:cs="Arial" w:eastAsia="Arial" w:hAnsi="Arial"/>
          <w:b/>
          <w:bCs/>
          <w:color w:val="000000"/>
          <w:sz w:val="20"/>
          <w:szCs w:val="20"/>
        </w:rPr>
        <w:t xml:space="preserve">Contraste de independencia. </w:t>
      </w:r>
      <w:r>
        <w:rPr>
          <w:rFonts w:ascii="Arial" w:cs="Arial" w:eastAsia="Arial" w:hAnsi="Arial"/>
          <w:b w:val="false"/>
          <w:bCs w:val="false"/>
          <w:color w:val="000000"/>
          <w:sz w:val="20"/>
          <w:szCs w:val="20"/>
        </w:rPr>
        <w:t xml:space="preserve">H0: la intención de compra del sistema es independiente de la percepción de la calidad del papel del cuaderno actual. Ha: existe relación entre ambas variables. El contraste se realiza mediante la prueba de Ji-cuadrada.</w:t>
      </w:r>
    </w:p>
    <w:p>
      <w:pPr>
        <w:pBdr>
          <w:bottom w:val="single" w:color="000000" w:sz="8"/>
        </w:pBdr>
        <w:spacing w:after="130" w:before="280"/>
      </w:pPr>
      <w:r>
        <w:rPr>
          <w:rFonts w:ascii="Arial" w:cs="Arial" w:eastAsia="Arial" w:hAnsi="Arial"/>
          <w:b/>
          <w:bCs/>
          <w:color w:val="000000"/>
          <w:sz w:val="21"/>
          <w:szCs w:val="21"/>
        </w:rPr>
        <w:t xml:space="preserve">2.2.2. Técnicas de muestreo y determinación del tamaño de la muestra</w:t>
      </w:r>
    </w:p>
    <w:p>
      <w:pPr>
        <w:spacing w:after="100" w:before="200"/>
      </w:pPr>
      <w:r>
        <w:rPr>
          <w:rFonts w:ascii="Arial" w:cs="Arial" w:eastAsia="Arial" w:hAnsi="Arial"/>
          <w:b/>
          <w:bCs/>
          <w:color w:val="000000"/>
          <w:sz w:val="20"/>
          <w:szCs w:val="20"/>
        </w:rPr>
        <w:t xml:space="preserve">Población objetivo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Criterio</w:t>
            </w:r>
          </w:p>
        </w:tc>
        <w:tc>
          <w:tcPr>
            <w:tcW w:type="dxa" w:w="68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Definición</w:t>
            </w:r>
          </w:p>
        </w:tc>
      </w:tr>
      <w:tr>
        <w:tc>
          <w:tcPr>
            <w:tcW w:type="dxa" w:w="2200"/>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Inclusión</w:t>
            </w:r>
          </w:p>
        </w:tc>
        <w:tc>
          <w:tcPr>
            <w:tcW w:type="dxa" w:w="68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Padres, madres o apoderados residentes en Arequipa metropolitana con al menos un hijo cursando educación secundaria, que sean quienes adquieren los útiles escolares</w:t>
            </w:r>
          </w:p>
        </w:tc>
      </w:tr>
      <w:tr>
        <w:tc>
          <w:tcPr>
            <w:tcW w:type="dxa" w:w="22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Exclusión</w:t>
            </w:r>
          </w:p>
        </w:tc>
        <w:tc>
          <w:tcPr>
            <w:tcW w:type="dxa" w:w="68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Apoderados que no participan en la compra de útiles, y docentes o personal de librería, por conocer la categoría desde la oferta</w:t>
            </w:r>
          </w:p>
        </w:tc>
      </w:tr>
      <w:tr>
        <w:tc>
          <w:tcPr>
            <w:tcW w:type="dxa" w:w="2200"/>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Dimensionamiento</w:t>
            </w:r>
          </w:p>
        </w:tc>
        <w:tc>
          <w:tcPr>
            <w:tcW w:type="dxa" w:w="68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[VERIFICAR: número de estudiantes matriculados en secundaria en Arequipa metropolitana, con la fuente y el año. Puede tomarse del portal de estadística del Ministerio de Educación.]</w:t>
            </w:r>
          </w:p>
        </w:tc>
      </w:tr>
    </w:tbl>
    <w:p>
      <w:pPr>
        <w:spacing w:after="100" w:before="200"/>
      </w:pPr>
      <w:r>
        <w:rPr>
          <w:rFonts w:ascii="Arial" w:cs="Arial" w:eastAsia="Arial" w:hAnsi="Arial"/>
          <w:b/>
          <w:bCs/>
          <w:color w:val="000000"/>
          <w:sz w:val="20"/>
          <w:szCs w:val="20"/>
        </w:rPr>
        <w:t xml:space="preserve">Tipo de muestreo</w:t>
      </w:r>
    </w:p>
    <w:p>
      <w:pPr>
        <w:spacing w:after="120" w:before="0" w:line="270"/>
        <w:jc w:val="both"/>
      </w:pPr>
      <w:r>
        <w:rPr>
          <w:rFonts w:ascii="Arial" w:cs="Arial" w:eastAsia="Arial" w:hAnsi="Arial"/>
          <w:b w:val="false"/>
          <w:bCs w:val="false"/>
          <w:color w:val="000000"/>
          <w:sz w:val="20"/>
          <w:szCs w:val="20"/>
        </w:rPr>
        <w:t xml:space="preserve">Se emplea un muestreo no probabilístico por cuotas, con control por tipo de gestión del colegio, público o privado, y por grado del estudiante. La ausencia de un marco muestral accesible de padres de familia impide un procedimiento probabilístico. El acceso se gestiona a través de instituciones educativas, por lo que la muestra se concentra en los colegios que autoricen la aplicación, limitación que se declara expresamente.</w:t>
      </w:r>
    </w:p>
    <w:p>
      <w:pPr>
        <w:spacing w:after="100" w:before="200"/>
      </w:pPr>
      <w:r>
        <w:rPr>
          <w:rFonts w:ascii="Arial" w:cs="Arial" w:eastAsia="Arial" w:hAnsi="Arial"/>
          <w:b/>
          <w:bCs/>
          <w:color w:val="000000"/>
          <w:sz w:val="20"/>
          <w:szCs w:val="20"/>
        </w:rPr>
        <w:t xml:space="preserve">Tamaño de la muestra</w:t>
      </w:r>
    </w:p>
    <w:p>
      <w:pPr>
        <w:spacing w:after="120" w:before="0" w:line="270"/>
        <w:jc w:val="both"/>
      </w:pPr>
      <w:r>
        <w:rPr>
          <w:rFonts w:ascii="Arial" w:cs="Arial" w:eastAsia="Arial" w:hAnsi="Arial"/>
          <w:b w:val="false"/>
          <w:bCs w:val="false"/>
          <w:color w:val="000000"/>
          <w:sz w:val="20"/>
          <w:szCs w:val="20"/>
        </w:rPr>
        <w:t xml:space="preserve">Se aplica la fórmula para población infinita, con los mismos parámetros del estudio anterior:</w:t>
      </w:r>
    </w:p>
    <w:p>
      <w:pPr>
        <w:spacing w:after="120" w:before="0" w:line="270"/>
        <w:jc w:val="center"/>
      </w:pPr>
      <w:r>
        <w:rPr>
          <w:rFonts w:ascii="Arial" w:cs="Arial" w:eastAsia="Arial" w:hAnsi="Arial"/>
          <w:b/>
          <w:bCs/>
          <w:color w:val="000000"/>
          <w:sz w:val="20"/>
          <w:szCs w:val="20"/>
        </w:rPr>
        <w:t xml:space="preserve">n = Z² · p · q / e²  =  (1,96² × 0,50 × 0,50) / 0,07²  =  196</w:t>
      </w:r>
    </w:p>
    <w:p>
      <w:pPr>
        <w:spacing w:after="120" w:before="0" w:line="270"/>
        <w:jc w:val="both"/>
      </w:pPr>
      <w:r>
        <w:rPr>
          <w:rFonts w:ascii="Arial" w:cs="Arial" w:eastAsia="Arial" w:hAnsi="Arial"/>
          <w:b w:val="false"/>
          <w:bCs w:val="false"/>
          <w:color w:val="000000"/>
          <w:sz w:val="20"/>
          <w:szCs w:val="20"/>
        </w:rPr>
        <w:t xml:space="preserve">La muestra queda establecida en 196 encuestas válidas, con un nivel de confianza del 95 por ciento y un margen de error del 7 por ciento. Si la población objetivo verificada resultara inferior a cien mil personas, se aplica el factor de corrección para población finita y el tamaño resultante será menor, lo que debe recalcularse y consignarse.</w:t>
      </w:r>
    </w:p>
    <w:p>
      <w:pPr>
        <w:spacing w:after="100" w:before="200"/>
      </w:pPr>
      <w:r>
        <w:rPr>
          <w:rFonts w:ascii="Arial" w:cs="Arial" w:eastAsia="Arial" w:hAnsi="Arial"/>
          <w:b/>
          <w:bCs/>
          <w:color w:val="000000"/>
          <w:sz w:val="20"/>
          <w:szCs w:val="20"/>
        </w:rPr>
        <w:t xml:space="preserve">Distribución por cuotas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Tipo de gestión</w:t>
            </w:r>
          </w:p>
        </w:tc>
        <w:tc>
          <w:tcPr>
            <w:tcW w:type="dxa" w:w="22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Primero a tercero</w:t>
            </w:r>
          </w:p>
        </w:tc>
        <w:tc>
          <w:tcPr>
            <w:tcW w:type="dxa" w:w="22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Cuarto y quinto</w:t>
            </w:r>
          </w:p>
        </w:tc>
        <w:tc>
          <w:tcPr>
            <w:tcW w:type="dxa" w:w="22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Subtotal</w:t>
            </w:r>
          </w:p>
        </w:tc>
      </w:tr>
      <w:tr>
        <w:tc>
          <w:tcPr>
            <w:tcW w:type="dxa" w:w="2400"/>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Colegio público</w:t>
            </w:r>
          </w:p>
        </w:tc>
        <w:tc>
          <w:tcPr>
            <w:tcW w:type="dxa" w:w="2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  ]</w:t>
            </w:r>
          </w:p>
        </w:tc>
        <w:tc>
          <w:tcPr>
            <w:tcW w:type="dxa" w:w="2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  ]</w:t>
            </w:r>
          </w:p>
        </w:tc>
        <w:tc>
          <w:tcPr>
            <w:tcW w:type="dxa" w:w="2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  ]</w:t>
            </w:r>
          </w:p>
        </w:tc>
      </w:tr>
      <w:tr>
        <w:tc>
          <w:tcPr>
            <w:tcW w:type="dxa" w:w="24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Colegio privado</w:t>
            </w:r>
          </w:p>
        </w:tc>
        <w:tc>
          <w:tcPr>
            <w:tcW w:type="dxa" w:w="22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  ]</w:t>
            </w:r>
          </w:p>
        </w:tc>
        <w:tc>
          <w:tcPr>
            <w:tcW w:type="dxa" w:w="22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  ]</w:t>
            </w:r>
          </w:p>
        </w:tc>
        <w:tc>
          <w:tcPr>
            <w:tcW w:type="dxa" w:w="22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  ]</w:t>
            </w:r>
          </w:p>
        </w:tc>
      </w:tr>
      <w:tr>
        <w:tc>
          <w:tcPr>
            <w:tcW w:type="dxa" w:w="2400"/>
            <w:tcMar>
              <w:top w:type="dxa" w:w="70"/>
              <w:left w:type="dxa" w:w="100"/>
              <w:bottom w:type="dxa" w:w="70"/>
              <w:right w:type="dxa" w:w="100"/>
            </w:tcMar>
            <w:vAlign w:val="center"/>
          </w:tcPr>
          <w:p>
            <w:pPr>
              <w:spacing w:after="0" w:line="250"/>
              <w:jc w:val="left"/>
            </w:pPr>
            <w:r>
              <w:rPr>
                <w:rFonts w:ascii="Arial" w:cs="Arial" w:eastAsia="Arial" w:hAnsi="Arial"/>
                <w:b/>
                <w:bCs/>
                <w:color w:val="000000"/>
                <w:sz w:val="17"/>
                <w:szCs w:val="17"/>
              </w:rPr>
              <w:t xml:space="preserve">Total</w:t>
            </w:r>
          </w:p>
        </w:tc>
        <w:tc>
          <w:tcPr>
            <w:tcW w:type="dxa" w:w="2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  ]</w:t>
            </w:r>
          </w:p>
        </w:tc>
        <w:tc>
          <w:tcPr>
            <w:tcW w:type="dxa" w:w="2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  ]</w:t>
            </w:r>
          </w:p>
        </w:tc>
        <w:tc>
          <w:tcPr>
            <w:tcW w:type="dxa" w:w="2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196</w:t>
            </w:r>
          </w:p>
        </w:tc>
      </w:tr>
    </w:tbl>
    <w:p>
      <w:pPr>
        <w:pBdr>
          <w:left w:val="single" w:color="000000" w:sz="18"/>
        </w:pBdr>
        <w:shd w:fill="E7E6E6" w:color="auto" w:val="clear"/>
        <w:spacing w:after="140" w:before="60" w:line="260"/>
        <w:ind w:left="120" w:right="120"/>
        <w:jc w:val="both"/>
      </w:pPr>
      <w:r>
        <w:rPr>
          <w:rFonts w:ascii="Arial" w:cs="Arial" w:eastAsia="Arial" w:hAnsi="Arial"/>
          <w:b/>
          <w:bCs/>
          <w:color w:val="000000"/>
          <w:sz w:val="18"/>
          <w:szCs w:val="18"/>
        </w:rPr>
        <w:t xml:space="preserve">NOTA DEL DOCENTE.  </w:t>
      </w:r>
      <w:r>
        <w:rPr>
          <w:rFonts w:ascii="Arial" w:cs="Arial" w:eastAsia="Arial" w:hAnsi="Arial"/>
          <w:b w:val="false"/>
          <w:bCs w:val="false"/>
          <w:color w:val="000000"/>
          <w:sz w:val="18"/>
          <w:szCs w:val="18"/>
        </w:rPr>
        <w:t xml:space="preserve">La proporción entre gestión pública y privada debe tomarse de la matrícula real de la ciudad, no estimarse. Es la variable de control que más afecta la disposición a pagar y un desbalance en esa cuota sesga el resultado principal del estudio.</w:t>
      </w:r>
    </w:p>
    <w:p>
      <w:pPr>
        <w:pBdr>
          <w:bottom w:val="single" w:color="000000" w:sz="8"/>
        </w:pBdr>
        <w:spacing w:after="130" w:before="280"/>
      </w:pPr>
      <w:r>
        <w:rPr>
          <w:rFonts w:ascii="Arial" w:cs="Arial" w:eastAsia="Arial" w:hAnsi="Arial"/>
          <w:b/>
          <w:bCs/>
          <w:color w:val="000000"/>
          <w:sz w:val="21"/>
          <w:szCs w:val="21"/>
        </w:rPr>
        <w:t xml:space="preserve">2.2.3. Diseño de instrumentos cuantitativos</w:t>
      </w:r>
    </w:p>
    <w:p>
      <w:pPr>
        <w:spacing w:after="120" w:before="0" w:line="270"/>
        <w:jc w:val="both"/>
      </w:pPr>
      <w:r>
        <w:rPr>
          <w:rFonts w:ascii="Arial" w:cs="Arial" w:eastAsia="Arial" w:hAnsi="Arial"/>
          <w:b w:val="false"/>
          <w:bCs w:val="false"/>
          <w:color w:val="000000"/>
          <w:sz w:val="20"/>
          <w:szCs w:val="20"/>
        </w:rPr>
        <w:t xml:space="preserve">El instrumento es un cuestionario estructurado, aplicado de forma asistida en la puerta de las instituciones educativas y complementado con un formulario en línea difundido por los canales de comunicación de los colegios que lo autoricen. Se organiza en seis módulos.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3200"/>
        <w:gridCol w:w="2300"/>
      </w:tblGrid>
      <w:tr>
        <w:trPr>
          <w:tblHeader/>
        </w:trPr>
        <w:tc>
          <w:tcPr>
            <w:tcW w:type="dxa" w:w="14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Módulo</w:t>
            </w:r>
          </w:p>
        </w:tc>
        <w:tc>
          <w:tcPr>
            <w:tcW w:type="dxa" w:w="21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Objetivo que responde</w:t>
            </w:r>
          </w:p>
        </w:tc>
        <w:tc>
          <w:tcPr>
            <w:tcW w:type="dxa" w:w="32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Contenido</w:t>
            </w:r>
          </w:p>
        </w:tc>
        <w:tc>
          <w:tcPr>
            <w:tcW w:type="dxa" w:w="23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Tipos de pregunta y escalas</w:t>
            </w:r>
          </w:p>
        </w:tc>
      </w:tr>
      <w:tr>
        <w:tc>
          <w:tcPr>
            <w:tcW w:type="dxa" w:w="14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Filtro</w:t>
            </w:r>
          </w:p>
        </w:tc>
        <w:tc>
          <w:tcPr>
            <w:tcW w:type="dxa" w:w="21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w:t>
            </w:r>
          </w:p>
        </w:tc>
        <w:tc>
          <w:tcPr>
            <w:tcW w:type="dxa" w:w="3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Residencia, tener un hijo en secundaria y ser quien compra los útiles</w:t>
            </w:r>
          </w:p>
        </w:tc>
        <w:tc>
          <w:tcPr>
            <w:tcW w:type="dxa" w:w="23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Cerradas de opción única. Descarte automático</w:t>
            </w:r>
          </w:p>
        </w:tc>
      </w:tr>
      <w:tr>
        <w:tc>
          <w:tcPr>
            <w:tcW w:type="dxa" w:w="14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A. Hábitos</w:t>
            </w:r>
          </w:p>
        </w:tc>
        <w:tc>
          <w:tcPr>
            <w:tcW w:type="dxa" w:w="21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OE1</w:t>
            </w:r>
          </w:p>
        </w:tc>
        <w:tc>
          <w:tcPr>
            <w:tcW w:type="dxa" w:w="32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Número de cuadernos por año, momento y lugar de compra, gasto en campaña escolar</w:t>
            </w:r>
          </w:p>
        </w:tc>
        <w:tc>
          <w:tcPr>
            <w:tcW w:type="dxa" w:w="23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Numérica abierta, opción única y rangos en soles</w:t>
            </w:r>
          </w:p>
        </w:tc>
      </w:tr>
      <w:tr>
        <w:tc>
          <w:tcPr>
            <w:tcW w:type="dxa" w:w="14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B. Producto actual</w:t>
            </w:r>
          </w:p>
        </w:tc>
        <w:tc>
          <w:tcPr>
            <w:tcW w:type="dxa" w:w="21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OE2</w:t>
            </w:r>
          </w:p>
        </w:tc>
        <w:tc>
          <w:tcPr>
            <w:tcW w:type="dxa" w:w="3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Marca que compra, criterios de elección y percepción de la calidad del papel</w:t>
            </w:r>
          </w:p>
        </w:tc>
        <w:tc>
          <w:tcPr>
            <w:tcW w:type="dxa" w:w="23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Opción única y Likert de 5 puntos</w:t>
            </w:r>
          </w:p>
        </w:tc>
      </w:tr>
      <w:tr>
        <w:tc>
          <w:tcPr>
            <w:tcW w:type="dxa" w:w="14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C. Descarte</w:t>
            </w:r>
          </w:p>
        </w:tc>
        <w:tc>
          <w:tcPr>
            <w:tcW w:type="dxa" w:w="21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OE3</w:t>
            </w:r>
          </w:p>
        </w:tc>
        <w:tc>
          <w:tcPr>
            <w:tcW w:type="dxa" w:w="32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Destino del cuaderno al terminar el año y proporción de hojas sin usar</w:t>
            </w:r>
          </w:p>
        </w:tc>
        <w:tc>
          <w:tcPr>
            <w:tcW w:type="dxa" w:w="23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Opción única y rangos porcentuales</w:t>
            </w:r>
          </w:p>
        </w:tc>
      </w:tr>
      <w:tr>
        <w:tc>
          <w:tcPr>
            <w:tcW w:type="dxa" w:w="14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D. Concepto</w:t>
            </w:r>
          </w:p>
        </w:tc>
        <w:tc>
          <w:tcPr>
            <w:tcW w:type="dxa" w:w="21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OE4 y OE5</w:t>
            </w:r>
          </w:p>
        </w:tc>
        <w:tc>
          <w:tcPr>
            <w:tcW w:type="dxa" w:w="3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Presentación del sistema con imagen, aceptación del formato, intención de compra y disposición a pagar por tapa y por recarga</w:t>
            </w:r>
          </w:p>
        </w:tc>
        <w:tc>
          <w:tcPr>
            <w:tcW w:type="dxa" w:w="23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Likert, escala de intención de 5 puntos y rangos en soles</w:t>
            </w:r>
          </w:p>
        </w:tc>
      </w:tr>
      <w:tr>
        <w:tc>
          <w:tcPr>
            <w:tcW w:type="dxa" w:w="14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E. Sostenibilidad</w:t>
            </w:r>
          </w:p>
        </w:tc>
        <w:tc>
          <w:tcPr>
            <w:tcW w:type="dxa" w:w="21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OE6</w:t>
            </w:r>
          </w:p>
        </w:tc>
        <w:tc>
          <w:tcPr>
            <w:tcW w:type="dxa" w:w="32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Importancia de reducir el residuo de papel en la decisión de compra</w:t>
            </w:r>
          </w:p>
        </w:tc>
        <w:tc>
          <w:tcPr>
            <w:tcW w:type="dxa" w:w="23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Likert de 5 puntos</w:t>
            </w:r>
          </w:p>
        </w:tc>
      </w:tr>
      <w:tr>
        <w:tc>
          <w:tcPr>
            <w:tcW w:type="dxa" w:w="14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F. Demográficos</w:t>
            </w:r>
          </w:p>
        </w:tc>
        <w:tc>
          <w:tcPr>
            <w:tcW w:type="dxa" w:w="21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w:t>
            </w:r>
          </w:p>
        </w:tc>
        <w:tc>
          <w:tcPr>
            <w:tcW w:type="dxa" w:w="32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Distrito, número de hijos en edad escolar y tipo de gestión del colegio</w:t>
            </w:r>
          </w:p>
        </w:tc>
        <w:tc>
          <w:tcPr>
            <w:tcW w:type="dxa" w:w="23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Opción única</w:t>
            </w:r>
          </w:p>
        </w:tc>
      </w:tr>
    </w:tbl>
    <w:p>
      <w:pPr>
        <w:spacing w:after="130"/>
      </w:pPr>
      <w:r>
        <w:rPr>
          <w:rFonts w:ascii="Arial" w:cs="Arial" w:eastAsia="Arial" w:hAnsi="Arial"/>
          <w:b w:val="false"/>
          <w:bCs w:val="false"/>
          <w:color w:val="000000"/>
          <w:sz w:val="20"/>
          <w:szCs w:val="20"/>
        </w:rPr>
        <w:t xml:space="preserve"/>
      </w:r>
    </w:p>
    <w:p>
      <w:pPr>
        <w:pBdr>
          <w:left w:val="single" w:color="000000" w:sz="18"/>
        </w:pBdr>
        <w:shd w:fill="E7E6E6" w:color="auto" w:val="clear"/>
        <w:spacing w:after="140" w:before="60" w:line="260"/>
        <w:ind w:left="120" w:right="120"/>
        <w:jc w:val="both"/>
      </w:pPr>
      <w:r>
        <w:rPr>
          <w:rFonts w:ascii="Arial" w:cs="Arial" w:eastAsia="Arial" w:hAnsi="Arial"/>
          <w:b/>
          <w:bCs/>
          <w:color w:val="000000"/>
          <w:sz w:val="18"/>
          <w:szCs w:val="18"/>
        </w:rPr>
        <w:t xml:space="preserve">NOTA DEL DOCENTE.  </w:t>
      </w:r>
      <w:r>
        <w:rPr>
          <w:rFonts w:ascii="Arial" w:cs="Arial" w:eastAsia="Arial" w:hAnsi="Arial"/>
          <w:b w:val="false"/>
          <w:bCs w:val="false"/>
          <w:color w:val="000000"/>
          <w:sz w:val="18"/>
          <w:szCs w:val="18"/>
        </w:rPr>
        <w:t xml:space="preserve">El módulo C es el que diferencia este estudio de cualquier encuesta de útiles escolares: la proporción de hojas no utilizadas al descartar es el dato que convierte una intuición en un problema medible, y es la cifra que el equipo va a citar en el resumen ejecutivo. Debe preguntarse con rangos y acompañarse de una pregunta de control sobre el destino del cuaderno.</w:t>
      </w:r>
    </w:p>
    <w:p>
      <w:r>
        <w:br w:type="page"/>
      </w:r>
    </w:p>
    <w:p>
      <w:pPr>
        <w:shd w:fill="000000" w:color="auto" w:val="clear"/>
        <w:spacing w:after="170" w:before="260"/>
        <w:jc w:val="center"/>
      </w:pPr>
      <w:r>
        <w:rPr>
          <w:rFonts w:ascii="Arial" w:cs="Arial" w:eastAsia="Arial" w:hAnsi="Arial"/>
          <w:b/>
          <w:bCs/>
          <w:color w:val="FFFFFF"/>
          <w:sz w:val="21"/>
          <w:szCs w:val="21"/>
        </w:rPr>
        <w:t xml:space="preserve">LO QUE FALTA PARA CERRAR ESTE BORRADOR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00"/>
      </w:tblGrid>
      <w:tr>
        <w:trPr>
          <w:tblHeader/>
        </w:trPr>
        <w:tc>
          <w:tcPr>
            <w:tcW w:type="dxa" w:w="6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N.º</w:t>
            </w:r>
          </w:p>
        </w:tc>
        <w:tc>
          <w:tcPr>
            <w:tcW w:type="dxa" w:w="26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Equipo</w:t>
            </w:r>
          </w:p>
        </w:tc>
        <w:tc>
          <w:tcPr>
            <w:tcW w:type="dxa" w:w="5800"/>
            <w:shd w:fill="000000" w:color="auto" w:val="clear"/>
            <w:tcMar>
              <w:top w:type="dxa" w:w="70"/>
              <w:left w:type="dxa" w:w="100"/>
              <w:bottom w:type="dxa" w:w="70"/>
              <w:right w:type="dxa" w:w="100"/>
            </w:tcMar>
            <w:vAlign w:val="center"/>
          </w:tcPr>
          <w:p>
            <w:pPr>
              <w:spacing w:after="0" w:line="250"/>
              <w:jc w:val="center"/>
            </w:pPr>
            <w:r>
              <w:rPr>
                <w:rFonts w:ascii="Arial" w:cs="Arial" w:eastAsia="Arial" w:hAnsi="Arial"/>
                <w:b/>
                <w:bCs/>
                <w:color w:val="FFFFFF"/>
                <w:sz w:val="16"/>
                <w:szCs w:val="16"/>
              </w:rPr>
              <w:t xml:space="preserve">Qué debe resolverse</w:t>
            </w:r>
          </w:p>
        </w:tc>
      </w:tr>
      <w:tr>
        <w:tc>
          <w:tcPr>
            <w:tcW w:type="dxa" w:w="6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1</w:t>
            </w:r>
          </w:p>
        </w:tc>
        <w:tc>
          <w:tcPr>
            <w:tcW w:type="dxa" w:w="26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Equipo 1</w:t>
            </w:r>
          </w:p>
        </w:tc>
        <w:tc>
          <w:tcPr>
            <w:tcW w:type="dxa" w:w="58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Definir el producto sustituto y las marcas competidoras que se medirán en los módulos B y C. Sin esa definición, esos dos módulos no se pueden redactar</w:t>
            </w:r>
          </w:p>
        </w:tc>
      </w:tr>
      <w:tr>
        <w:tc>
          <w:tcPr>
            <w:tcW w:type="dxa" w:w="6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2</w:t>
            </w:r>
          </w:p>
        </w:tc>
        <w:tc>
          <w:tcPr>
            <w:tcW w:type="dxa" w:w="26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Equipo 1</w:t>
            </w:r>
          </w:p>
        </w:tc>
        <w:tc>
          <w:tcPr>
            <w:tcW w:type="dxa" w:w="58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Decidir si el ritual de compra entra al estudio, porque determina si el módulo D lleva una o dos preguntas de disposición a pagar</w:t>
            </w:r>
          </w:p>
        </w:tc>
      </w:tr>
      <w:tr>
        <w:tc>
          <w:tcPr>
            <w:tcW w:type="dxa" w:w="6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3</w:t>
            </w:r>
          </w:p>
        </w:tc>
        <w:tc>
          <w:tcPr>
            <w:tcW w:type="dxa" w:w="26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Equipo 1</w:t>
            </w:r>
          </w:p>
        </w:tc>
        <w:tc>
          <w:tcPr>
            <w:tcW w:type="dxa" w:w="58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Conseguir el dato poblacional de Arequipa metropolitana en el grupo de 16 a 30 años, con su fuente</w:t>
            </w:r>
          </w:p>
        </w:tc>
      </w:tr>
      <w:tr>
        <w:tc>
          <w:tcPr>
            <w:tcW w:type="dxa" w:w="6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4</w:t>
            </w:r>
          </w:p>
        </w:tc>
        <w:tc>
          <w:tcPr>
            <w:tcW w:type="dxa" w:w="26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Equipo 2</w:t>
            </w:r>
          </w:p>
        </w:tc>
        <w:tc>
          <w:tcPr>
            <w:tcW w:type="dxa" w:w="58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Confirmar en tres listas de útiles reales la exigencia de un cuaderno por curso. Es el hecho que sostiene toda la propuesta</w:t>
            </w:r>
          </w:p>
        </w:tc>
      </w:tr>
      <w:tr>
        <w:tc>
          <w:tcPr>
            <w:tcW w:type="dxa" w:w="6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5</w:t>
            </w:r>
          </w:p>
        </w:tc>
        <w:tc>
          <w:tcPr>
            <w:tcW w:type="dxa" w:w="26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Equipo 2</w:t>
            </w:r>
          </w:p>
        </w:tc>
        <w:tc>
          <w:tcPr>
            <w:tcW w:type="dxa" w:w="58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Conseguir la matrícula de secundaria de la ciudad y su reparto entre gestión pública y privada</w:t>
            </w:r>
          </w:p>
        </w:tc>
      </w:tr>
      <w:tr>
        <w:tc>
          <w:tcPr>
            <w:tcW w:type="dxa" w:w="6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6</w:t>
            </w:r>
          </w:p>
        </w:tc>
        <w:tc>
          <w:tcPr>
            <w:tcW w:type="dxa" w:w="26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Equipo 2</w:t>
            </w:r>
          </w:p>
        </w:tc>
        <w:tc>
          <w:tcPr>
            <w:tcW w:type="dxa" w:w="5800"/>
            <w:shd w:fill="F2F2F2" w:color="auto" w:val="clear"/>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Gestionar la autorización de al menos dos instituciones educativas para aplicar la encuesta</w:t>
            </w:r>
          </w:p>
        </w:tc>
      </w:tr>
      <w:tr>
        <w:tc>
          <w:tcPr>
            <w:tcW w:type="dxa" w:w="6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7</w:t>
            </w:r>
          </w:p>
        </w:tc>
        <w:tc>
          <w:tcPr>
            <w:tcW w:type="dxa" w:w="26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Ambos</w:t>
            </w:r>
          </w:p>
        </w:tc>
        <w:tc>
          <w:tcPr>
            <w:tcW w:type="dxa" w:w="5800"/>
            <w:tcMar>
              <w:top w:type="dxa" w:w="70"/>
              <w:left w:type="dxa" w:w="100"/>
              <w:bottom w:type="dxa" w:w="70"/>
              <w:right w:type="dxa" w:w="100"/>
            </w:tcMar>
            <w:vAlign w:val="center"/>
          </w:tcPr>
          <w:p>
            <w:pPr>
              <w:spacing w:after="0" w:line="250"/>
              <w:jc w:val="left"/>
            </w:pPr>
            <w:r>
              <w:rPr>
                <w:rFonts w:ascii="Arial" w:cs="Arial" w:eastAsia="Arial" w:hAnsi="Arial"/>
                <w:b w:val="false"/>
                <w:bCs w:val="false"/>
                <w:color w:val="000000"/>
                <w:sz w:val="17"/>
                <w:szCs w:val="17"/>
              </w:rPr>
              <w:t xml:space="preserve">Preparar la imagen del concepto que se mostrará en el módulo D. Sin una representación visual, la intención de compra mide una idea distinta en cada encuestado</w:t>
            </w:r>
          </w:p>
        </w:tc>
      </w:tr>
    </w:tbl>
    <w:p>
      <w:pPr>
        <w:spacing w:after="130"/>
      </w:pPr>
      <w:r>
        <w:rPr>
          <w:rFonts w:ascii="Arial" w:cs="Arial" w:eastAsia="Arial" w:hAnsi="Arial"/>
          <w:b w:val="false"/>
          <w:bCs w:val="false"/>
          <w:color w:val="000000"/>
          <w:sz w:val="20"/>
          <w:szCs w:val="20"/>
        </w:rPr>
        <w:t xml:space="preserve"/>
      </w:r>
    </w:p>
    <w:p>
      <w:pPr>
        <w:spacing w:after="120" w:before="0" w:line="270"/>
        <w:jc w:val="both"/>
      </w:pPr>
      <w:r>
        <w:rPr>
          <w:rFonts w:ascii="Arial" w:cs="Arial" w:eastAsia="Arial" w:hAnsi="Arial"/>
          <w:b/>
          <w:bCs/>
          <w:color w:val="000000"/>
          <w:sz w:val="20"/>
          <w:szCs w:val="20"/>
        </w:rPr>
        <w:t xml:space="preserve">Advertencia sobre el uso de este borrador. </w:t>
      </w:r>
      <w:r>
        <w:rPr>
          <w:rFonts w:ascii="Arial" w:cs="Arial" w:eastAsia="Arial" w:hAnsi="Arial"/>
          <w:b w:val="false"/>
          <w:bCs w:val="false"/>
          <w:color w:val="000000"/>
          <w:sz w:val="20"/>
          <w:szCs w:val="20"/>
        </w:rPr>
        <w:t xml:space="preserve">El texto está redactado para que el equipo lo corrija, no para que lo copie. Un informe que conserve intactas estas líneas se nota de inmediato, porque el planteamiento no coincidirá con los datos que el propio equipo recoja. El valor del borrador está en la estructura, en el nivel de detalle esperado y en los cálculos ya resueltos; el contenido se reemplaza con lo que cada equipo verifique en campo.</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color w:val="000000"/>
        <w:sz w:val="16"/>
        <w:szCs w:val="16"/>
      </w:rPr>
      <w:t xml:space="preserve">Borrador del componente de Investigación Cuantitativa · MKT 2 · 2026-II · página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2026-09-02T19:03:42.530Z</dcterms:created>
  <dcterms:modified xsi:type="dcterms:W3CDTF">2026-09-02T19:03:42.558Z</dcterms:modified>
</cp:coreProperties>
</file>

<file path=docProps/custom.xml><?xml version="1.0" encoding="utf-8"?>
<Properties xmlns="http://schemas.openxmlformats.org/officeDocument/2006/custom-properties" xmlns:vt="http://schemas.openxmlformats.org/officeDocument/2006/docPropsVTypes"/>
</file>