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800"/>
        <w:jc w:val="center"/>
      </w:pPr>
      <w:r>
        <w:rPr>
          <w:b/>
          <w:bCs/>
          <w:spacing w:val="80"/>
          <w:sz w:val="26"/>
          <w:szCs w:val="26"/>
        </w:rPr>
        <w:t xml:space="preserve">INVESTIGACIÓN CUANTITATIVA</w:t>
      </w:r>
    </w:p>
    <w:p>
      <w:pPr>
        <w:spacing w:before="60" w:after="400"/>
        <w:jc w:val="center"/>
      </w:pPr>
      <w:r>
        <w:rPr>
          <w:spacing w:val="60"/>
          <w:sz w:val="20"/>
          <w:szCs w:val="20"/>
        </w:rPr>
        <w:t xml:space="preserve">APLICADA A LA INVESTIGACIÓN DE MERCADOS</w:t>
      </w:r>
    </w:p>
    <w:p>
      <w:pPr>
        <w:spacing w:after="60"/>
        <w:jc w:val="center"/>
      </w:pPr>
      <w:r>
        <w:rPr>
          <w:sz w:val="24"/>
          <w:szCs w:val="24"/>
        </w:rPr>
        <w:t xml:space="preserve">COMPENDIO TEÓRICO</w:t>
      </w:r>
    </w:p>
    <w:p>
      <w:pPr>
        <w:spacing w:after="60"/>
        <w:jc w:val="center"/>
      </w:pPr>
      <w:r>
        <w:rPr>
          <w:sz w:val="24"/>
          <w:szCs w:val="24"/>
        </w:rPr>
        <w:t xml:space="preserve">Sesión 1</w:t>
      </w:r>
    </w:p>
    <w:p>
      <w:pPr>
        <w:spacing w:after="400"/>
        <w:jc w:val="center"/>
      </w:pPr>
      <w:r>
        <w:rPr>
          <w:sz w:val="24"/>
          <w:szCs w:val="24"/>
        </w:rPr>
        <w:t xml:space="preserve">El proceso de investigación en marketing</w:t>
      </w:r>
    </w:p>
    <w:p>
      <w:pPr>
        <w:spacing w:after="60"/>
        <w:jc w:val="center"/>
      </w:pPr>
      <w:r>
        <w:rPr>
          <w:sz w:val="20"/>
          <w:szCs w:val="20"/>
        </w:rPr>
        <w:t xml:space="preserve">Teoría, casos de estudio y aplicaciones en el mercado peruano</w:t>
      </w:r>
    </w:p>
    <w:p>
      <w:pPr>
        <w:spacing w:after="1200"/>
        <w:jc w:val="center"/>
      </w:pPr>
      <w:r>
        <w:rPr>
          <w:sz w:val="20"/>
          <w:szCs w:val="20"/>
        </w:rPr>
        <w:t xml:space="preserve">Edición 2026</w:t>
      </w:r>
    </w:p>
    <w:p>
      <w:pPr>
        <w:jc w:val="center"/>
      </w:pPr>
      <w:r>
        <w:rPr>
          <w:sz w:val="20"/>
          <w:szCs w:val="20"/>
        </w:rPr>
        <w:t xml:space="preserve">DOCENTE: EDUARDO MAMANI ROQUE</w:t>
      </w:r>
    </w:p>
    <w:p>
      <w:pPr>
        <w:pageBreakBefore/>
        <w:spacing w:before="200" w:after="320"/>
      </w:pPr>
      <w:r>
        <w:rPr>
          <w:b/>
          <w:bCs/>
          <w:spacing w:val="40"/>
          <w:sz w:val="32"/>
          <w:szCs w:val="32"/>
        </w:rPr>
        <w:t xml:space="preserve">ÍNDICE GENERAL</w:t>
      </w:r>
    </w:p>
    <w:p>
      <w:pPr>
        <w:tabs>
          <w:tab w:val="right" w:leader="dot" w:pos="9000"/>
        </w:tabs>
        <w:spacing w:after="100" w:line="280" w:lineRule="auto"/>
        <w:ind w:right="72"/>
      </w:pPr>
      <w:r>
        <w:rPr>
          <w:b/>
          <w:bCs/>
        </w:rPr>
        <w:t xml:space="preserve">PRESENTACIÓN</w:t>
      </w:r>
      <w:r>
        <w:rPr>
          <w:b/>
          <w:bCs/>
        </w:rPr>
        <w:tab/>
        <w:t>3</w:t>
      </w:r>
    </w:p>
    <w:p>
      <w:pPr>
        <w:tabs>
          <w:tab w:val="right" w:leader="dot" w:pos="9000"/>
        </w:tabs>
        <w:spacing w:after="100" w:line="280" w:lineRule="auto"/>
        <w:ind w:right="72"/>
      </w:pPr>
      <w:r>
        <w:rPr>
          <w:b/>
          <w:bCs/>
        </w:rPr>
        <w:t xml:space="preserve">CAPÍTULO 1. El proceso de investigación en marketing</w:t>
      </w:r>
      <w:r>
        <w:rPr>
          <w:b/>
          <w:bCs/>
        </w:rPr>
        <w:tab/>
        <w:t>4</w:t>
      </w:r>
    </w:p>
    <w:p>
      <w:pPr>
        <w:tabs>
          <w:tab w:val="right" w:leader="dot" w:pos="9000"/>
        </w:tabs>
        <w:spacing w:after="60" w:line="280" w:lineRule="auto"/>
        <w:ind w:left="431" w:right="72"/>
      </w:pPr>
      <w:r>
        <w:rPr>
          <w:sz w:val="21"/>
          <w:szCs w:val="21"/>
        </w:rPr>
        <w:t xml:space="preserve">1.1. Naturaleza de la investigación de mercados: de la investigación pura a la aplicada</w:t>
      </w:r>
      <w:r>
        <w:rPr>
          <w:sz w:val="21"/>
          <w:szCs w:val="21"/>
        </w:rPr>
        <w:tab/>
        <w:t>4</w:t>
      </w:r>
    </w:p>
    <w:p>
      <w:pPr>
        <w:tabs>
          <w:tab w:val="right" w:leader="dot" w:pos="9000"/>
        </w:tabs>
        <w:spacing w:after="60" w:line="280" w:lineRule="auto"/>
        <w:ind w:left="431" w:right="72"/>
      </w:pPr>
      <w:r>
        <w:rPr>
          <w:sz w:val="21"/>
          <w:szCs w:val="21"/>
        </w:rPr>
        <w:t xml:space="preserve">1.2. Características fundamentales de la investigación de mercados</w:t>
      </w:r>
      <w:r>
        <w:rPr>
          <w:sz w:val="21"/>
          <w:szCs w:val="21"/>
        </w:rPr>
        <w:tab/>
        <w:t>5</w:t>
      </w:r>
    </w:p>
    <w:p>
      <w:pPr>
        <w:tabs>
          <w:tab w:val="right" w:leader="dot" w:pos="9000"/>
        </w:tabs>
        <w:spacing w:after="60" w:line="280" w:lineRule="auto"/>
        <w:ind w:left="431" w:right="72"/>
      </w:pPr>
      <w:r>
        <w:rPr>
          <w:sz w:val="21"/>
          <w:szCs w:val="21"/>
        </w:rPr>
        <w:t xml:space="preserve">1.3. La rentabilidad de la información y el principio de value for money</w:t>
      </w:r>
      <w:r>
        <w:rPr>
          <w:sz w:val="21"/>
          <w:szCs w:val="21"/>
        </w:rPr>
        <w:tab/>
        <w:t>6</w:t>
      </w:r>
    </w:p>
    <w:p>
      <w:pPr>
        <w:tabs>
          <w:tab w:val="right" w:leader="dot" w:pos="9000"/>
        </w:tabs>
        <w:spacing w:after="60" w:line="280" w:lineRule="auto"/>
        <w:ind w:left="431" w:right="72"/>
      </w:pPr>
      <w:r>
        <w:rPr>
          <w:sz w:val="21"/>
          <w:szCs w:val="21"/>
        </w:rPr>
        <w:t xml:space="preserve">1.4. La función de la investigación dentro del sistema de marketing</w:t>
      </w:r>
      <w:r>
        <w:rPr>
          <w:sz w:val="21"/>
          <w:szCs w:val="21"/>
        </w:rPr>
        <w:tab/>
        <w:t>6</w:t>
      </w:r>
    </w:p>
    <w:p>
      <w:pPr>
        <w:tabs>
          <w:tab w:val="right" w:leader="dot" w:pos="9000"/>
        </w:tabs>
        <w:spacing w:after="60" w:line="280" w:lineRule="auto"/>
        <w:ind w:left="431" w:right="72"/>
      </w:pPr>
      <w:r>
        <w:rPr>
          <w:sz w:val="21"/>
          <w:szCs w:val="21"/>
        </w:rPr>
        <w:t xml:space="preserve">1.5. Clasificación de la investigación según su propósito</w:t>
      </w:r>
      <w:r>
        <w:rPr>
          <w:sz w:val="21"/>
          <w:szCs w:val="21"/>
        </w:rPr>
        <w:tab/>
        <w:t>7</w:t>
      </w:r>
    </w:p>
    <w:p>
      <w:pPr>
        <w:tabs>
          <w:tab w:val="right" w:leader="dot" w:pos="9000"/>
        </w:tabs>
        <w:spacing w:after="60" w:line="280" w:lineRule="auto"/>
        <w:ind w:left="431" w:right="72"/>
      </w:pPr>
      <w:r>
        <w:rPr>
          <w:sz w:val="21"/>
          <w:szCs w:val="21"/>
        </w:rPr>
        <w:t xml:space="preserve">1.6. Los pasos secuenciales del proceso de investigación cuantitativa</w:t>
      </w:r>
      <w:r>
        <w:rPr>
          <w:sz w:val="21"/>
          <w:szCs w:val="21"/>
        </w:rPr>
        <w:tab/>
        <w:t>8</w:t>
      </w:r>
    </w:p>
    <w:p>
      <w:pPr>
        <w:tabs>
          <w:tab w:val="right" w:leader="dot" w:pos="9000"/>
        </w:tabs>
        <w:spacing w:after="60" w:line="280" w:lineRule="auto"/>
        <w:ind w:left="431" w:right="72"/>
      </w:pPr>
      <w:r>
        <w:rPr>
          <w:sz w:val="21"/>
          <w:szCs w:val="21"/>
        </w:rPr>
        <w:t xml:space="preserve">1.7. Valoración económica de la decisión de investigar</w:t>
      </w:r>
      <w:r>
        <w:rPr>
          <w:sz w:val="21"/>
          <w:szCs w:val="21"/>
        </w:rPr>
        <w:tab/>
        <w:t>9</w:t>
      </w:r>
    </w:p>
    <w:p>
      <w:pPr>
        <w:tabs>
          <w:tab w:val="right" w:leader="dot" w:pos="9000"/>
        </w:tabs>
        <w:spacing w:after="60" w:line="280" w:lineRule="auto"/>
        <w:ind w:left="431" w:right="72"/>
      </w:pPr>
      <w:r>
        <w:rPr>
          <w:sz w:val="21"/>
          <w:szCs w:val="21"/>
        </w:rPr>
        <w:t xml:space="preserve">1.8. Caso práctico integral: Andina Foods S.A.C.</w:t>
      </w:r>
      <w:r>
        <w:rPr>
          <w:sz w:val="21"/>
          <w:szCs w:val="21"/>
        </w:rPr>
        <w:tab/>
        <w:t>10</w:t>
      </w:r>
    </w:p>
    <w:p>
      <w:pPr>
        <w:tabs>
          <w:tab w:val="right" w:leader="dot" w:pos="9000"/>
        </w:tabs>
        <w:spacing w:after="60" w:line="280" w:lineRule="auto"/>
        <w:ind w:left="431" w:right="72"/>
      </w:pPr>
      <w:r>
        <w:rPr>
          <w:sz w:val="21"/>
          <w:szCs w:val="21"/>
        </w:rPr>
        <w:t xml:space="preserve">1.9. Casos de estudio para el debate</w:t>
      </w:r>
      <w:r>
        <w:rPr>
          <w:sz w:val="21"/>
          <w:szCs w:val="21"/>
        </w:rPr>
        <w:tab/>
        <w:t>12</w:t>
      </w:r>
    </w:p>
    <w:p>
      <w:pPr>
        <w:tabs>
          <w:tab w:val="right" w:leader="dot" w:pos="9000"/>
        </w:tabs>
        <w:spacing w:after="60" w:line="280" w:lineRule="auto"/>
        <w:ind w:left="431" w:right="72"/>
      </w:pPr>
      <w:r>
        <w:rPr>
          <w:sz w:val="21"/>
          <w:szCs w:val="21"/>
        </w:rPr>
        <w:t xml:space="preserve">1.10. Casos propuestos para resolver</w:t>
      </w:r>
      <w:r>
        <w:rPr>
          <w:sz w:val="21"/>
          <w:szCs w:val="21"/>
        </w:rPr>
        <w:tab/>
        <w:t>14</w:t>
      </w:r>
    </w:p>
    <w:p>
      <w:pPr>
        <w:tabs>
          <w:tab w:val="right" w:leader="dot" w:pos="9000"/>
        </w:tabs>
        <w:spacing w:after="100" w:line="280" w:lineRule="auto"/>
        <w:ind w:right="72"/>
      </w:pPr>
      <w:r>
        <w:rPr>
          <w:b/>
          <w:bCs/>
        </w:rPr>
        <w:t xml:space="preserve">BIBLIOGRAFÍA</w:t>
      </w:r>
      <w:r>
        <w:rPr>
          <w:b/>
          <w:bCs/>
        </w:rPr>
        <w:tab/>
        <w:t>16</w:t>
      </w:r>
    </w:p>
    <w:p>
      <w:pPr>
        <w:pageBreakBefore/>
        <w:spacing w:before="200" w:after="320"/>
      </w:pPr>
      <w:r>
        <w:rPr>
          <w:b/>
          <w:bCs/>
          <w:spacing w:val="40"/>
          <w:sz w:val="32"/>
          <w:szCs w:val="32"/>
        </w:rPr>
        <w:t xml:space="preserve">PRESENTACIÓN</w:t>
      </w:r>
    </w:p>
    <w:p>
      <w:pPr>
        <w:spacing w:after="140"/>
        <w:jc w:val="both"/>
      </w:pPr>
      <w:r>
        <w:t xml:space="preserve">Este compendio reúne el desarrollo teórico y práctico de la primera sesión del curso de Investigación Cuantitativa, correspondiente a la unidad de aprendizaje I, dedicada a los fundamentos y al diseño de la investigación. Está dirigido a estudiantes del segundo ciclo de la carrera profesional de Marketing y su propósito es que el lector identifique, comprenda y aplique de manera efectiva los pasos del proceso de investigación comercial, reconociendo su relevancia dentro de la toma de decisiones gerenciales.</w:t>
      </w:r>
    </w:p>
    <w:p>
      <w:pPr>
        <w:spacing w:after="140"/>
        <w:jc w:val="both"/>
      </w:pPr>
      <w:r>
        <w:t xml:space="preserve">El capítulo establece los cimientos conceptuales de la disciplina. Delimita la frontera entre la investigación pura y la investigación aplicada, presenta las dos definiciones formales de referencia en la industria, la de la American Marketing Association y la de Naresh Malhotra, y precisa las tres condiciones que separan un estudio de mercado riguroso de una simple opinión gerencial: ser sistemático, ser objetivo y ser fidedigno. Sobre esa base desarrolla los roles descriptivo, diagnóstico y predictivo de la investigación, su clasificación según el propósito que persigue y la secuencia completa de pasos que ordena todo estudio cuantitativo.</w:t>
      </w:r>
    </w:p>
    <w:p>
      <w:pPr>
        <w:spacing w:after="140"/>
        <w:jc w:val="both"/>
      </w:pPr>
      <w:r>
        <w:t xml:space="preserve">La sesión incorpora, además, un componente que suele omitirse en la enseñanza introductoria: la investigación de mercados no es gratuita y no siempre conviene realizarla. El principio de value for money y el modelo del valor neto de la información permiten decidir, con aritmética sencilla y antes de aprobar un presupuesto, si el estudio se justifica económicamente o si la gerencia debe resolver con la información que ya posee.</w:t>
      </w:r>
    </w:p>
    <w:p>
      <w:pPr>
        <w:spacing w:after="140"/>
        <w:jc w:val="both"/>
      </w:pPr>
      <w:r>
        <w:t xml:space="preserve">El texto incluye un caso práctico integral íntegramente resuelto y expresado en soles sobre una empresa representativa del mercado peruano, dos casos de estudio internacionales ampliamente documentados que ilustran las consecuencias de investigar y de no hacerlo, y una serie de casos propuestos para el trabajo autónomo y el debate en aula.</w:t>
      </w:r>
    </w:p>
    <w:p>
      <w:pPr>
        <w:pageBreakBefore/>
        <w:spacing w:before="600" w:after="60"/>
      </w:pPr>
      <w:r>
        <w:rPr>
          <w:b/>
          <w:bCs/>
          <w:spacing w:val="60"/>
          <w:sz w:val="24"/>
          <w:szCs w:val="24"/>
        </w:rPr>
        <w:t xml:space="preserve">CAPÍTULO 1</w:t>
      </w:r>
    </w:p>
    <w:p/>
    <w:p>
      <w:pPr>
        <w:pStyle w:val="Ttulo1"/>
        <w:keepNext/>
        <w:spacing w:before="0" w:after="260"/>
      </w:pPr>
      <w:r>
        <w:t xml:space="preserve">El proceso de investigación en marketing</w:t>
      </w:r>
    </w:p>
    <w:p>
      <w:pPr>
        <w:spacing w:after="140"/>
        <w:jc w:val="both"/>
      </w:pPr>
      <w:r>
        <w:t xml:space="preserve">Toda decisión comercial se toma en condiciones de incertidumbre. El gerente de marketing debe fijar un precio, elegir un canal, rediseñar un empaque o aprobar una campaña sin conocer con certeza cómo reaccionará el mercado. La investigación de mercados existe precisamente para reducir esa incertidumbre a un nivel tolerable y a un costo razonable. Este capítulo desarrolla qué es la investigación de mercados, qué condiciones debe cumplir para ser considerada científica, para qué sirve dentro del sistema de marketing, cómo se ordena su ejecución en pasos secuenciales y cómo se determina, en unidades monetarias, si realizarla resulta rentable.</w:t>
      </w:r>
    </w:p>
    <w:p>
      <w:pPr>
        <w:pStyle w:val="Ttulo2"/>
        <w:keepNext/>
        <w:spacing w:before="360" w:after="160"/>
      </w:pPr>
      <w:r>
        <w:t xml:space="preserve">1.1. Naturaleza de la investigación de mercados: de la investigación pura a la aplicada</w:t>
      </w:r>
    </w:p>
    <w:p>
      <w:pPr>
        <w:spacing w:after="140"/>
        <w:jc w:val="both"/>
      </w:pPr>
      <w:r>
        <w:t xml:space="preserve">Para comprender el proceso de investigación en marketing es indispensable diferenciar primero dos formas de producir conocimiento. La investigación pura, también denominada básica, busca ampliar los límites del conocimiento científico sin perseguir un fin pragmático inmediato; su producto es una teoría, un modelo o una explicación general. La investigación aplicada, en cambio, utiliza el mismo método científico para analizar evidencia empírica de manera imparcial, pero lo hace con un propósito concreto: resolver un problema específico de marketing y reducir el riesgo asociado a una decisión gerencial determinada.</w:t>
      </w:r>
    </w:p>
    <w:p>
      <w:pPr>
        <w:spacing w:after="140"/>
        <w:jc w:val="both"/>
      </w:pPr>
      <w:r>
        <w:t xml:space="preserve">La investigación de mercados pertenece por completo al segundo grupo. No se investiga por curiosidad intelectual, sino porque existe una decisión pendiente cuyo costo de equivocarse es alto. Esta orientación práctica define su alcance, su horizonte temporal y su presupuesto, y explica por qué un estudio comercial se juzga por su utilidad para la decisión y no únicamente por su elegancia metodológica.</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500"/>
        <w:gridCol w:w="3710"/>
        <w:gridCol w:w="3790"/>
      </w:tblGrid>
      <w:tr>
        <w:trPr>
          <w:tblHeader/>
        </w:trPr>
        <w:tc>
          <w:tcPr>
            <w:tcW w:w="1500" w:type="dxa"/>
            <w:shd w:val="clear" w:color="auto" w:fill="E8E8E8"/>
            <w:tcMar>
              <w:top w:w="90" w:type="dxa"/>
              <w:left w:w="110" w:type="dxa"/>
              <w:bottom w:w="90" w:type="dxa"/>
              <w:right w:w="110" w:type="dxa"/>
            </w:tcMar>
          </w:tcPr>
          <w:p>
            <w:pPr>
              <w:spacing w:line="260" w:lineRule="auto"/>
            </w:pPr>
            <w:r>
              <w:rPr>
                <w:b/>
                <w:bCs/>
                <w:sz w:val="20"/>
                <w:szCs w:val="20"/>
              </w:rPr>
              <w:t xml:space="preserve">Criterio</w:t>
            </w:r>
          </w:p>
        </w:tc>
        <w:tc>
          <w:tcPr>
            <w:tcW w:w="3710" w:type="dxa"/>
            <w:shd w:val="clear" w:color="auto" w:fill="E8E8E8"/>
            <w:tcMar>
              <w:top w:w="90" w:type="dxa"/>
              <w:left w:w="110" w:type="dxa"/>
              <w:bottom w:w="90" w:type="dxa"/>
              <w:right w:w="110" w:type="dxa"/>
            </w:tcMar>
          </w:tcPr>
          <w:p>
            <w:pPr>
              <w:spacing w:line="260" w:lineRule="auto"/>
            </w:pPr>
            <w:r>
              <w:rPr>
                <w:b/>
                <w:bCs/>
                <w:sz w:val="20"/>
                <w:szCs w:val="20"/>
              </w:rPr>
              <w:t xml:space="preserve">Investigación pura o básica</w:t>
            </w:r>
          </w:p>
        </w:tc>
        <w:tc>
          <w:tcPr>
            <w:tcW w:w="3790" w:type="dxa"/>
            <w:shd w:val="clear" w:color="auto" w:fill="E8E8E8"/>
            <w:tcMar>
              <w:top w:w="90" w:type="dxa"/>
              <w:left w:w="110" w:type="dxa"/>
              <w:bottom w:w="90" w:type="dxa"/>
              <w:right w:w="110" w:type="dxa"/>
            </w:tcMar>
          </w:tcPr>
          <w:p>
            <w:pPr>
              <w:spacing w:line="260" w:lineRule="auto"/>
            </w:pPr>
            <w:r>
              <w:rPr>
                <w:b/>
                <w:bCs/>
                <w:sz w:val="20"/>
                <w:szCs w:val="20"/>
              </w:rPr>
              <w:t xml:space="preserve">Investigación aplicada</w:t>
            </w:r>
          </w:p>
        </w:tc>
      </w:tr>
      <w:tr>
        <w:tc>
          <w:tcPr>
            <w:tcW w:w="1500" w:type="dxa"/>
            <w:tcMar>
              <w:top w:w="90" w:type="dxa"/>
              <w:left w:w="110" w:type="dxa"/>
              <w:bottom w:w="90" w:type="dxa"/>
              <w:right w:w="110" w:type="dxa"/>
            </w:tcMar>
          </w:tcPr>
          <w:p>
            <w:pPr>
              <w:spacing w:line="260" w:lineRule="auto"/>
            </w:pPr>
            <w:r>
              <w:rPr>
                <w:sz w:val="20"/>
                <w:szCs w:val="20"/>
              </w:rPr>
              <w:t xml:space="preserve">Finalidad</w:t>
            </w:r>
          </w:p>
        </w:tc>
        <w:tc>
          <w:tcPr>
            <w:tcW w:w="3710" w:type="dxa"/>
            <w:tcMar>
              <w:top w:w="90" w:type="dxa"/>
              <w:left w:w="110" w:type="dxa"/>
              <w:bottom w:w="90" w:type="dxa"/>
              <w:right w:w="110" w:type="dxa"/>
            </w:tcMar>
          </w:tcPr>
          <w:p>
            <w:pPr>
              <w:spacing w:line="260" w:lineRule="auto"/>
            </w:pPr>
            <w:r>
              <w:rPr>
                <w:sz w:val="20"/>
                <w:szCs w:val="20"/>
              </w:rPr>
              <w:t xml:space="preserve">Ampliar el conocimiento científico y construir teoría general.</w:t>
            </w:r>
          </w:p>
        </w:tc>
        <w:tc>
          <w:tcPr>
            <w:tcW w:w="3790" w:type="dxa"/>
            <w:tcMar>
              <w:top w:w="90" w:type="dxa"/>
              <w:left w:w="110" w:type="dxa"/>
              <w:bottom w:w="90" w:type="dxa"/>
              <w:right w:w="110" w:type="dxa"/>
            </w:tcMar>
          </w:tcPr>
          <w:p>
            <w:pPr>
              <w:spacing w:line="260" w:lineRule="auto"/>
            </w:pPr>
            <w:r>
              <w:rPr>
                <w:sz w:val="20"/>
                <w:szCs w:val="20"/>
              </w:rPr>
              <w:t xml:space="preserve">Resolver un problema concreto de marketing y sustentar una decisión.</w:t>
            </w:r>
          </w:p>
        </w:tc>
      </w:tr>
      <w:tr>
        <w:tc>
          <w:tcPr>
            <w:tcW w:w="1500" w:type="dxa"/>
            <w:tcMar>
              <w:top w:w="90" w:type="dxa"/>
              <w:left w:w="110" w:type="dxa"/>
              <w:bottom w:w="90" w:type="dxa"/>
              <w:right w:w="110" w:type="dxa"/>
            </w:tcMar>
          </w:tcPr>
          <w:p>
            <w:pPr>
              <w:spacing w:line="260" w:lineRule="auto"/>
            </w:pPr>
            <w:r>
              <w:rPr>
                <w:sz w:val="20"/>
                <w:szCs w:val="20"/>
              </w:rPr>
              <w:t xml:space="preserve">Origen del problema</w:t>
            </w:r>
          </w:p>
        </w:tc>
        <w:tc>
          <w:tcPr>
            <w:tcW w:w="3710" w:type="dxa"/>
            <w:tcMar>
              <w:top w:w="90" w:type="dxa"/>
              <w:left w:w="110" w:type="dxa"/>
              <w:bottom w:w="90" w:type="dxa"/>
              <w:right w:w="110" w:type="dxa"/>
            </w:tcMar>
          </w:tcPr>
          <w:p>
            <w:pPr>
              <w:spacing w:line="260" w:lineRule="auto"/>
            </w:pPr>
            <w:r>
              <w:rPr>
                <w:sz w:val="20"/>
                <w:szCs w:val="20"/>
              </w:rPr>
              <w:t xml:space="preserve">La comunidad académica y los vacíos de la literatura.</w:t>
            </w:r>
          </w:p>
        </w:tc>
        <w:tc>
          <w:tcPr>
            <w:tcW w:w="3790" w:type="dxa"/>
            <w:tcMar>
              <w:top w:w="90" w:type="dxa"/>
              <w:left w:w="110" w:type="dxa"/>
              <w:bottom w:w="90" w:type="dxa"/>
              <w:right w:w="110" w:type="dxa"/>
            </w:tcMar>
          </w:tcPr>
          <w:p>
            <w:pPr>
              <w:spacing w:line="260" w:lineRule="auto"/>
            </w:pPr>
            <w:r>
              <w:rPr>
                <w:sz w:val="20"/>
                <w:szCs w:val="20"/>
              </w:rPr>
              <w:t xml:space="preserve">La gerencia de la organización y sus decisiones pendientes.</w:t>
            </w:r>
          </w:p>
        </w:tc>
      </w:tr>
      <w:tr>
        <w:tc>
          <w:tcPr>
            <w:tcW w:w="1500" w:type="dxa"/>
            <w:tcMar>
              <w:top w:w="90" w:type="dxa"/>
              <w:left w:w="110" w:type="dxa"/>
              <w:bottom w:w="90" w:type="dxa"/>
              <w:right w:w="110" w:type="dxa"/>
            </w:tcMar>
          </w:tcPr>
          <w:p>
            <w:pPr>
              <w:spacing w:line="260" w:lineRule="auto"/>
            </w:pPr>
            <w:r>
              <w:rPr>
                <w:sz w:val="20"/>
                <w:szCs w:val="20"/>
              </w:rPr>
              <w:t xml:space="preserve">Horizonte</w:t>
            </w:r>
          </w:p>
        </w:tc>
        <w:tc>
          <w:tcPr>
            <w:tcW w:w="3710" w:type="dxa"/>
            <w:tcMar>
              <w:top w:w="90" w:type="dxa"/>
              <w:left w:w="110" w:type="dxa"/>
              <w:bottom w:w="90" w:type="dxa"/>
              <w:right w:w="110" w:type="dxa"/>
            </w:tcMar>
          </w:tcPr>
          <w:p>
            <w:pPr>
              <w:spacing w:line="260" w:lineRule="auto"/>
            </w:pPr>
            <w:r>
              <w:rPr>
                <w:sz w:val="20"/>
                <w:szCs w:val="20"/>
              </w:rPr>
              <w:t xml:space="preserve">De mediano a largo plazo, sin urgencia comercial.</w:t>
            </w:r>
          </w:p>
        </w:tc>
        <w:tc>
          <w:tcPr>
            <w:tcW w:w="3790" w:type="dxa"/>
            <w:tcMar>
              <w:top w:w="90" w:type="dxa"/>
              <w:left w:w="110" w:type="dxa"/>
              <w:bottom w:w="90" w:type="dxa"/>
              <w:right w:w="110" w:type="dxa"/>
            </w:tcMar>
          </w:tcPr>
          <w:p>
            <w:pPr>
              <w:spacing w:line="260" w:lineRule="auto"/>
            </w:pPr>
            <w:r>
              <w:rPr>
                <w:sz w:val="20"/>
                <w:szCs w:val="20"/>
              </w:rPr>
              <w:t xml:space="preserve">Corto plazo, condicionado por la ventana de oportunidad del mercado.</w:t>
            </w:r>
          </w:p>
        </w:tc>
      </w:tr>
      <w:tr>
        <w:tc>
          <w:tcPr>
            <w:tcW w:w="1500" w:type="dxa"/>
            <w:tcMar>
              <w:top w:w="90" w:type="dxa"/>
              <w:left w:w="110" w:type="dxa"/>
              <w:bottom w:w="90" w:type="dxa"/>
              <w:right w:w="110" w:type="dxa"/>
            </w:tcMar>
          </w:tcPr>
          <w:p>
            <w:pPr>
              <w:spacing w:line="260" w:lineRule="auto"/>
            </w:pPr>
            <w:r>
              <w:rPr>
                <w:sz w:val="20"/>
                <w:szCs w:val="20"/>
              </w:rPr>
              <w:t xml:space="preserve">Criterio de éxito</w:t>
            </w:r>
          </w:p>
        </w:tc>
        <w:tc>
          <w:tcPr>
            <w:tcW w:w="3710" w:type="dxa"/>
            <w:tcMar>
              <w:top w:w="90" w:type="dxa"/>
              <w:left w:w="110" w:type="dxa"/>
              <w:bottom w:w="90" w:type="dxa"/>
              <w:right w:w="110" w:type="dxa"/>
            </w:tcMar>
          </w:tcPr>
          <w:p>
            <w:pPr>
              <w:spacing w:line="260" w:lineRule="auto"/>
            </w:pPr>
            <w:r>
              <w:rPr>
                <w:sz w:val="20"/>
                <w:szCs w:val="20"/>
              </w:rPr>
              <w:t xml:space="preserve">Aporte al cuerpo de conocimiento de la disciplina.</w:t>
            </w:r>
          </w:p>
        </w:tc>
        <w:tc>
          <w:tcPr>
            <w:tcW w:w="3790" w:type="dxa"/>
            <w:tcMar>
              <w:top w:w="90" w:type="dxa"/>
              <w:left w:w="110" w:type="dxa"/>
              <w:bottom w:w="90" w:type="dxa"/>
              <w:right w:w="110" w:type="dxa"/>
            </w:tcMar>
          </w:tcPr>
          <w:p>
            <w:pPr>
              <w:spacing w:line="260" w:lineRule="auto"/>
            </w:pPr>
            <w:r>
              <w:rPr>
                <w:sz w:val="20"/>
                <w:szCs w:val="20"/>
              </w:rPr>
              <w:t xml:space="preserve">Reducción del riesgo y mejora de la calidad de la decisión.</w:t>
            </w:r>
          </w:p>
        </w:tc>
      </w:tr>
    </w:tbl>
    <w:p>
      <w:pPr>
        <w:spacing w:before="100" w:after="220"/>
        <w:jc w:val="center"/>
      </w:pPr>
      <w:r>
        <w:rPr>
          <w:sz w:val="18"/>
          <w:szCs w:val="18"/>
        </w:rPr>
        <w:t xml:space="preserve">Cuadro 1.1. Diferencias entre la investigación pura y la investigación aplicada.</w:t>
      </w:r>
    </w:p>
    <w:p>
      <w:pPr>
        <w:pStyle w:val="Ttulo3"/>
        <w:keepNext/>
        <w:spacing w:before="280" w:after="140"/>
      </w:pPr>
      <w:r>
        <w:t xml:space="preserve">Definiciones formales de referencia</w:t>
      </w:r>
    </w:p>
    <w:p>
      <w:pPr>
        <w:spacing w:after="140"/>
        <w:jc w:val="both"/>
      </w:pPr>
      <w:r>
        <w:t xml:space="preserve">La industria y la academia trabajan con dos definiciones ampliamente aceptadas. La primera corresponde a la American Marketing Association y subraya la función de vinculación que cumple la información; la segunda, formulada por Naresh Malhotra, subraya el carácter sistemático y objetivo del proceso.</w:t>
      </w:r>
    </w:p>
    <w:p>
      <w:pPr>
        <w:pStyle w:val="Ttulo4"/>
        <w:keepNext/>
        <w:spacing w:before="240" w:after="120"/>
      </w:pPr>
      <w:r>
        <w:t xml:space="preserve">Definición de la American Marketing Association</w:t>
      </w:r>
    </w:p>
    <w:p>
      <w:pPr>
        <w:spacing w:after="140"/>
        <w:jc w:val="both"/>
      </w:pPr>
      <w:r>
        <w:t xml:space="preserve">La investigación de mercados es la función que vincula al consumidor, al cliente y al público con el mercadólogo a través de la información, la cual se utiliza para identificar y definir las oportunidades y los problemas del marketing; para generar, perfeccionar y evaluar las acciones de marketing; para monitorear el desempeño del marketing y mejorar su comprensión como un proceso.</w:t>
      </w:r>
    </w:p>
    <w:p>
      <w:pPr>
        <w:pStyle w:val="Ttulo4"/>
        <w:keepNext/>
        <w:spacing w:before="240" w:after="120"/>
      </w:pPr>
      <w:r>
        <w:t xml:space="preserve">Definición de Naresh Malhotra</w:t>
      </w:r>
    </w:p>
    <w:p>
      <w:pPr>
        <w:spacing w:after="140"/>
        <w:jc w:val="both"/>
      </w:pPr>
      <w:r>
        <w:t xml:space="preserve">La investigación de mercados es la identificación, recopilación, análisis, difusión y uso sistemático y objetivo de la información con el propósito de mejorar la toma de decisiones relacionadas con la identificación y solución de problemas y oportunidades de marketing.</w:t>
      </w:r>
    </w:p>
    <w:p>
      <w:pPr>
        <w:spacing w:after="140"/>
        <w:jc w:val="both"/>
      </w:pPr>
      <w:r>
        <w:t xml:space="preserve">Ambas definiciones coinciden en tres elementos: la información es el insumo central, el proceso es sistemático y su destino final es siempre una decisión de marketing. La investigación no termina cuando se obtiene un dato, sino cuando ese dato modifica o confirma un curso de acción comercial.</w:t>
      </w:r>
    </w:p>
    <w:p>
      <w:pPr>
        <w:pStyle w:val="Ttulo2"/>
        <w:keepNext/>
        <w:spacing w:before="360" w:after="160"/>
      </w:pPr>
      <w:r>
        <w:t xml:space="preserve">1.2. Características fundamentales de la investigación de mercados</w:t>
      </w:r>
    </w:p>
    <w:p>
      <w:pPr>
        <w:spacing w:after="140"/>
        <w:jc w:val="both"/>
      </w:pPr>
      <w:r>
        <w:t xml:space="preserve">Para que un estudio sea considerado investigación de mercados, y no una opinión ilustrada o una intuición bien expresada, debe cumplir simultáneamente con tres pilares. La ausencia de cualquiera de ellos invalida los hallazgos y, con ellos, las decisiones que se apoyen en el estudio.</w:t>
      </w:r>
    </w:p>
    <w:p>
      <w:pPr>
        <w:pStyle w:val="Prrafodelista"/>
        <w:numPr>
          <w:ilvl w:val="0"/>
          <w:numId w:val="2"/>
        </w:numPr>
        <w:spacing w:after="100"/>
        <w:jc w:val="both"/>
      </w:pPr>
      <w:r>
        <w:t xml:space="preserve">Sistemática. La investigación requiere una planeación metódica y estructurada en todas sus etapas. Las fases deben estar documentadas, ser reproducibles por un tercero y seguir el método científico, de modo que las hipótesis previas puedan comprobarse o rechazarse con evidencia.</w:t>
      </w:r>
    </w:p>
    <w:p>
      <w:pPr>
        <w:pStyle w:val="Prrafodelista"/>
        <w:numPr>
          <w:ilvl w:val="0"/>
          <w:numId w:val="2"/>
        </w:numPr>
        <w:spacing w:after="100"/>
        <w:jc w:val="both"/>
      </w:pPr>
      <w:r>
        <w:t xml:space="preserve">Objetiva. El estudio debe realizarse de manera imparcial y libre de sesgos. El investigador no debe manipular instrumentos, muestras ni resultados para reflejar la realidad deseada por quien encarga el trabajo, sino registrar la situación tal como se presenta en el mercado.</w:t>
      </w:r>
    </w:p>
    <w:p>
      <w:pPr>
        <w:pStyle w:val="Prrafodelista"/>
        <w:numPr>
          <w:ilvl w:val="0"/>
          <w:numId w:val="2"/>
        </w:numPr>
        <w:spacing w:after="100"/>
        <w:jc w:val="both"/>
      </w:pPr>
      <w:r>
        <w:t xml:space="preserve">Fidedigna. Los resultados deben reflejar de forma veraz y exacta el verdadero estado de las variables estudiadas. La fidelidad depende tanto de la calidad del instrumento como del control ejercido durante el trabajo de campo.</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40"/>
        <w:gridCol w:w="3840"/>
        <w:gridCol w:w="3520"/>
      </w:tblGrid>
      <w:tr>
        <w:trPr>
          <w:tblHeader/>
        </w:trPr>
        <w:tc>
          <w:tcPr>
            <w:tcW w:w="1640" w:type="dxa"/>
            <w:shd w:val="clear" w:color="auto" w:fill="E8E8E8"/>
            <w:tcMar>
              <w:top w:w="90" w:type="dxa"/>
              <w:left w:w="110" w:type="dxa"/>
              <w:bottom w:w="90" w:type="dxa"/>
              <w:right w:w="110" w:type="dxa"/>
            </w:tcMar>
          </w:tcPr>
          <w:p>
            <w:pPr>
              <w:spacing w:line="260" w:lineRule="auto"/>
            </w:pPr>
            <w:r>
              <w:rPr>
                <w:b/>
                <w:bCs/>
                <w:sz w:val="20"/>
                <w:szCs w:val="20"/>
              </w:rPr>
              <w:t xml:space="preserve">Característica</w:t>
            </w:r>
          </w:p>
        </w:tc>
        <w:tc>
          <w:tcPr>
            <w:tcW w:w="3840" w:type="dxa"/>
            <w:shd w:val="clear" w:color="auto" w:fill="E8E8E8"/>
            <w:tcMar>
              <w:top w:w="90" w:type="dxa"/>
              <w:left w:w="110" w:type="dxa"/>
              <w:bottom w:w="90" w:type="dxa"/>
              <w:right w:w="110" w:type="dxa"/>
            </w:tcMar>
          </w:tcPr>
          <w:p>
            <w:pPr>
              <w:spacing w:line="260" w:lineRule="auto"/>
            </w:pPr>
            <w:r>
              <w:rPr>
                <w:b/>
                <w:bCs/>
                <w:sz w:val="20"/>
                <w:szCs w:val="20"/>
              </w:rPr>
              <w:t xml:space="preserve">Exigencia metodológica</w:t>
            </w:r>
          </w:p>
        </w:tc>
        <w:tc>
          <w:tcPr>
            <w:tcW w:w="3520" w:type="dxa"/>
            <w:shd w:val="clear" w:color="auto" w:fill="E8E8E8"/>
            <w:tcMar>
              <w:top w:w="90" w:type="dxa"/>
              <w:left w:w="110" w:type="dxa"/>
              <w:bottom w:w="90" w:type="dxa"/>
              <w:right w:w="110" w:type="dxa"/>
            </w:tcMar>
          </w:tcPr>
          <w:p>
            <w:pPr>
              <w:spacing w:line="260" w:lineRule="auto"/>
            </w:pPr>
            <w:r>
              <w:rPr>
                <w:b/>
                <w:bCs/>
                <w:sz w:val="20"/>
                <w:szCs w:val="20"/>
              </w:rPr>
              <w:t xml:space="preserve">Riesgo cuando se incumple</w:t>
            </w:r>
          </w:p>
        </w:tc>
      </w:tr>
      <w:tr>
        <w:tc>
          <w:tcPr>
            <w:tcW w:w="1640" w:type="dxa"/>
            <w:tcMar>
              <w:top w:w="90" w:type="dxa"/>
              <w:left w:w="110" w:type="dxa"/>
              <w:bottom w:w="90" w:type="dxa"/>
              <w:right w:w="110" w:type="dxa"/>
            </w:tcMar>
          </w:tcPr>
          <w:p>
            <w:pPr>
              <w:spacing w:line="260" w:lineRule="auto"/>
            </w:pPr>
            <w:r>
              <w:rPr>
                <w:sz w:val="20"/>
                <w:szCs w:val="20"/>
              </w:rPr>
              <w:t xml:space="preserve">Sistemática</w:t>
            </w:r>
          </w:p>
        </w:tc>
        <w:tc>
          <w:tcPr>
            <w:tcW w:w="3840" w:type="dxa"/>
            <w:tcMar>
              <w:top w:w="90" w:type="dxa"/>
              <w:left w:w="110" w:type="dxa"/>
              <w:bottom w:w="90" w:type="dxa"/>
              <w:right w:w="110" w:type="dxa"/>
            </w:tcMar>
          </w:tcPr>
          <w:p>
            <w:pPr>
              <w:spacing w:line="260" w:lineRule="auto"/>
            </w:pPr>
            <w:r>
              <w:rPr>
                <w:sz w:val="20"/>
                <w:szCs w:val="20"/>
              </w:rPr>
              <w:t xml:space="preserve">Planeación documentada, secuencia de pasos y método científico verificable.</w:t>
            </w:r>
          </w:p>
        </w:tc>
        <w:tc>
          <w:tcPr>
            <w:tcW w:w="3520" w:type="dxa"/>
            <w:tcMar>
              <w:top w:w="90" w:type="dxa"/>
              <w:left w:w="110" w:type="dxa"/>
              <w:bottom w:w="90" w:type="dxa"/>
              <w:right w:w="110" w:type="dxa"/>
            </w:tcMar>
          </w:tcPr>
          <w:p>
            <w:pPr>
              <w:spacing w:line="260" w:lineRule="auto"/>
            </w:pPr>
            <w:r>
              <w:rPr>
                <w:sz w:val="20"/>
                <w:szCs w:val="20"/>
              </w:rPr>
              <w:t xml:space="preserve">Hallazgos irreproducibles que no resisten una auditoría técnica.</w:t>
            </w:r>
          </w:p>
        </w:tc>
      </w:tr>
      <w:tr>
        <w:tc>
          <w:tcPr>
            <w:tcW w:w="1640" w:type="dxa"/>
            <w:tcMar>
              <w:top w:w="90" w:type="dxa"/>
              <w:left w:w="110" w:type="dxa"/>
              <w:bottom w:w="90" w:type="dxa"/>
              <w:right w:w="110" w:type="dxa"/>
            </w:tcMar>
          </w:tcPr>
          <w:p>
            <w:pPr>
              <w:spacing w:line="260" w:lineRule="auto"/>
            </w:pPr>
            <w:r>
              <w:rPr>
                <w:sz w:val="20"/>
                <w:szCs w:val="20"/>
              </w:rPr>
              <w:t xml:space="preserve">Objetiva</w:t>
            </w:r>
          </w:p>
        </w:tc>
        <w:tc>
          <w:tcPr>
            <w:tcW w:w="3840" w:type="dxa"/>
            <w:tcMar>
              <w:top w:w="90" w:type="dxa"/>
              <w:left w:w="110" w:type="dxa"/>
              <w:bottom w:w="90" w:type="dxa"/>
              <w:right w:w="110" w:type="dxa"/>
            </w:tcMar>
          </w:tcPr>
          <w:p>
            <w:pPr>
              <w:spacing w:line="260" w:lineRule="auto"/>
            </w:pPr>
            <w:r>
              <w:rPr>
                <w:sz w:val="20"/>
                <w:szCs w:val="20"/>
              </w:rPr>
              <w:t xml:space="preserve">Neutralidad del investigador en el diseño, la recolección y el análisis.</w:t>
            </w:r>
          </w:p>
        </w:tc>
        <w:tc>
          <w:tcPr>
            <w:tcW w:w="3520" w:type="dxa"/>
            <w:tcMar>
              <w:top w:w="90" w:type="dxa"/>
              <w:left w:w="110" w:type="dxa"/>
              <w:bottom w:w="90" w:type="dxa"/>
              <w:right w:w="110" w:type="dxa"/>
            </w:tcMar>
          </w:tcPr>
          <w:p>
            <w:pPr>
              <w:spacing w:line="260" w:lineRule="auto"/>
            </w:pPr>
            <w:r>
              <w:rPr>
                <w:sz w:val="20"/>
                <w:szCs w:val="20"/>
              </w:rPr>
              <w:t xml:space="preserve">Confirmación artificial de la hipótesis preferida por la gerencia.</w:t>
            </w:r>
          </w:p>
        </w:tc>
      </w:tr>
      <w:tr>
        <w:tc>
          <w:tcPr>
            <w:tcW w:w="1640" w:type="dxa"/>
            <w:tcMar>
              <w:top w:w="90" w:type="dxa"/>
              <w:left w:w="110" w:type="dxa"/>
              <w:bottom w:w="90" w:type="dxa"/>
              <w:right w:w="110" w:type="dxa"/>
            </w:tcMar>
          </w:tcPr>
          <w:p>
            <w:pPr>
              <w:spacing w:line="260" w:lineRule="auto"/>
            </w:pPr>
            <w:r>
              <w:rPr>
                <w:sz w:val="20"/>
                <w:szCs w:val="20"/>
              </w:rPr>
              <w:t xml:space="preserve">Fidedigna</w:t>
            </w:r>
          </w:p>
        </w:tc>
        <w:tc>
          <w:tcPr>
            <w:tcW w:w="3840" w:type="dxa"/>
            <w:tcMar>
              <w:top w:w="90" w:type="dxa"/>
              <w:left w:w="110" w:type="dxa"/>
              <w:bottom w:w="90" w:type="dxa"/>
              <w:right w:w="110" w:type="dxa"/>
            </w:tcMar>
          </w:tcPr>
          <w:p>
            <w:pPr>
              <w:spacing w:line="260" w:lineRule="auto"/>
            </w:pPr>
            <w:r>
              <w:rPr>
                <w:sz w:val="20"/>
                <w:szCs w:val="20"/>
              </w:rPr>
              <w:t xml:space="preserve">Instrumentos válidos, muestras adecuadas y control de calidad en campo.</w:t>
            </w:r>
          </w:p>
        </w:tc>
        <w:tc>
          <w:tcPr>
            <w:tcW w:w="3520" w:type="dxa"/>
            <w:tcMar>
              <w:top w:w="90" w:type="dxa"/>
              <w:left w:w="110" w:type="dxa"/>
              <w:bottom w:w="90" w:type="dxa"/>
              <w:right w:w="110" w:type="dxa"/>
            </w:tcMar>
          </w:tcPr>
          <w:p>
            <w:pPr>
              <w:spacing w:line="260" w:lineRule="auto"/>
            </w:pPr>
            <w:r>
              <w:rPr>
                <w:sz w:val="20"/>
                <w:szCs w:val="20"/>
              </w:rPr>
              <w:t xml:space="preserve">Decisiones comerciales tomadas sobre una fotografía distorsionada del mercado.</w:t>
            </w:r>
          </w:p>
        </w:tc>
      </w:tr>
    </w:tbl>
    <w:p>
      <w:pPr>
        <w:spacing w:before="100" w:after="220"/>
        <w:jc w:val="center"/>
      </w:pPr>
      <w:r>
        <w:rPr>
          <w:sz w:val="18"/>
          <w:szCs w:val="18"/>
        </w:rPr>
        <w:t xml:space="preserve">Cuadro 1.2. Los tres pilares de la investigación de mercados.</w:t>
      </w:r>
    </w:p>
    <w:p>
      <w:pPr>
        <w:pStyle w:val="Ttulo2"/>
        <w:keepNext/>
        <w:spacing w:before="360" w:after="160"/>
      </w:pPr>
      <w:r>
        <w:t xml:space="preserve">1.3. La rentabilidad de la información y el principio de value for money</w:t>
      </w:r>
    </w:p>
    <w:p>
      <w:pPr>
        <w:spacing w:after="140"/>
        <w:jc w:val="both"/>
      </w:pPr>
      <w:r>
        <w:t xml:space="preserve">No todas las decisiones de marketing requieren una investigación de mercados. La experiencia acumulada por los gerentes permite resolver con solvencia las situaciones rutinarias y de bajo impacto económico, y destinar un presupuesto de estudio a esas decisiones constituye un desperdicio de recursos. La investigación se justifica cuando la incertidumbre es alta y las consecuencias del error son significativas.</w:t>
      </w:r>
    </w:p>
    <w:p>
      <w:pPr>
        <w:spacing w:after="140"/>
        <w:jc w:val="both"/>
      </w:pPr>
      <w:r>
        <w:t xml:space="preserve">El criterio que ordena esta evaluación se conoce como principio de value for money, o valor por el dinero. Su enunciado es directo: el costo económico de obtener y analizar la información de un estudio de mercado jamás debe ser superior al costo financiero o a la pérdida que supondría para la organización tomar una decisión gerencial errónea.</w:t>
      </w:r>
    </w:p>
    <w:p>
      <w:pPr>
        <w:spacing w:after="140"/>
        <w:jc w:val="both"/>
      </w:pPr>
      <w:r>
        <w:t xml:space="preserve">De este principio se desprenden tres situaciones en las que conviene abstenerse de investigar: cuando la decisión es reversible a bajo costo, cuando la ventana de tiempo comercial es tan estrecha que los resultados llegarían después de que la decisión deba tomarse, y cuando el presupuesto disponible solo alcanza para un estudio de calidad insuficiente, cuyo resultado sería peor que la ausencia de información.</w:t>
      </w:r>
    </w:p>
    <w:p>
      <w:pPr>
        <w:pStyle w:val="Ttulo2"/>
        <w:keepNext/>
        <w:spacing w:before="360" w:after="160"/>
      </w:pPr>
      <w:r>
        <w:t xml:space="preserve">1.4. La función de la investigación dentro del sistema de marketing</w:t>
      </w:r>
    </w:p>
    <w:p>
      <w:pPr>
        <w:spacing w:after="140"/>
        <w:jc w:val="both"/>
      </w:pPr>
      <w:r>
        <w:t xml:space="preserve">La investigación de mercados desempeña un papel de retroalimentación dentro del sistema estratégico de la empresa. Su tarea consiste en vincular las variables controlables del marketing mix, es decir, producto, precio, plaza y promoción, con los factores incontrolables del macroentorno y del microentorno, entre ellos la tecnología, el marco legal, los competidores, la economía y la cultura. La información obtenida permite ajustar las variables que la empresa sí controla a la realidad de aquellas que no controla.</w:t>
      </w:r>
    </w:p>
    <w:p>
      <w:pPr>
        <w:pStyle w:val="Ttulo3"/>
        <w:keepNext/>
        <w:spacing w:before="280" w:after="140"/>
      </w:pPr>
      <w:r>
        <w:t xml:space="preserve">Roles funcionales de la investigación</w:t>
      </w:r>
    </w:p>
    <w:p>
      <w:pPr>
        <w:spacing w:after="140"/>
        <w:jc w:val="both"/>
      </w:pPr>
      <w:r>
        <w:t xml:space="preserve">McDaniel y Gates identifican tres funciones críticas que la investigación aporta a la gerencia. Los tres roles son acumulativos: el predictivo no puede ejercerse sin una base descriptiva y diagnóstica previa.</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50"/>
        <w:gridCol w:w="2650"/>
        <w:gridCol w:w="5000"/>
      </w:tblGrid>
      <w:tr>
        <w:trPr>
          <w:tblHeader/>
        </w:trPr>
        <w:tc>
          <w:tcPr>
            <w:tcW w:w="1350" w:type="dxa"/>
            <w:shd w:val="clear" w:color="auto" w:fill="E8E8E8"/>
            <w:tcMar>
              <w:top w:w="90" w:type="dxa"/>
              <w:left w:w="110" w:type="dxa"/>
              <w:bottom w:w="90" w:type="dxa"/>
              <w:right w:w="110" w:type="dxa"/>
            </w:tcMar>
          </w:tcPr>
          <w:p>
            <w:pPr>
              <w:spacing w:line="260" w:lineRule="auto"/>
            </w:pPr>
            <w:r>
              <w:rPr>
                <w:b/>
                <w:bCs/>
                <w:sz w:val="20"/>
                <w:szCs w:val="20"/>
              </w:rPr>
              <w:t xml:space="preserve">Rol</w:t>
            </w:r>
          </w:p>
        </w:tc>
        <w:tc>
          <w:tcPr>
            <w:tcW w:w="2650" w:type="dxa"/>
            <w:shd w:val="clear" w:color="auto" w:fill="E8E8E8"/>
            <w:tcMar>
              <w:top w:w="90" w:type="dxa"/>
              <w:left w:w="110" w:type="dxa"/>
              <w:bottom w:w="90" w:type="dxa"/>
              <w:right w:w="110" w:type="dxa"/>
            </w:tcMar>
          </w:tcPr>
          <w:p>
            <w:pPr>
              <w:spacing w:line="260" w:lineRule="auto"/>
            </w:pPr>
            <w:r>
              <w:rPr>
                <w:b/>
                <w:bCs/>
                <w:sz w:val="20"/>
                <w:szCs w:val="20"/>
              </w:rPr>
              <w:t xml:space="preserve">Pregunta que responde</w:t>
            </w:r>
          </w:p>
        </w:tc>
        <w:tc>
          <w:tcPr>
            <w:tcW w:w="5000" w:type="dxa"/>
            <w:shd w:val="clear" w:color="auto" w:fill="E8E8E8"/>
            <w:tcMar>
              <w:top w:w="90" w:type="dxa"/>
              <w:left w:w="110" w:type="dxa"/>
              <w:bottom w:w="90" w:type="dxa"/>
              <w:right w:w="110" w:type="dxa"/>
            </w:tcMar>
          </w:tcPr>
          <w:p>
            <w:pPr>
              <w:spacing w:line="260" w:lineRule="auto"/>
            </w:pPr>
            <w:r>
              <w:rPr>
                <w:b/>
                <w:bCs/>
                <w:sz w:val="20"/>
                <w:szCs w:val="20"/>
              </w:rPr>
              <w:t xml:space="preserve">Ejemplo de aplicación comercial</w:t>
            </w:r>
          </w:p>
        </w:tc>
      </w:tr>
      <w:tr>
        <w:tc>
          <w:tcPr>
            <w:tcW w:w="1350" w:type="dxa"/>
            <w:tcMar>
              <w:top w:w="90" w:type="dxa"/>
              <w:left w:w="110" w:type="dxa"/>
              <w:bottom w:w="90" w:type="dxa"/>
              <w:right w:w="110" w:type="dxa"/>
            </w:tcMar>
          </w:tcPr>
          <w:p>
            <w:pPr>
              <w:spacing w:line="260" w:lineRule="auto"/>
            </w:pPr>
            <w:r>
              <w:rPr>
                <w:sz w:val="20"/>
                <w:szCs w:val="20"/>
              </w:rPr>
              <w:t xml:space="preserve">Descriptivo</w:t>
            </w:r>
          </w:p>
        </w:tc>
        <w:tc>
          <w:tcPr>
            <w:tcW w:w="2650" w:type="dxa"/>
            <w:tcMar>
              <w:top w:w="90" w:type="dxa"/>
              <w:left w:w="110" w:type="dxa"/>
              <w:bottom w:w="90" w:type="dxa"/>
              <w:right w:w="110" w:type="dxa"/>
            </w:tcMar>
          </w:tcPr>
          <w:p>
            <w:pPr>
              <w:spacing w:line="260" w:lineRule="auto"/>
            </w:pPr>
            <w:r>
              <w:rPr>
                <w:sz w:val="20"/>
                <w:szCs w:val="20"/>
              </w:rPr>
              <w:t xml:space="preserve">¿Qué está ocurriendo en el mercado?</w:t>
            </w:r>
          </w:p>
        </w:tc>
        <w:tc>
          <w:tcPr>
            <w:tcW w:w="5000" w:type="dxa"/>
            <w:tcMar>
              <w:top w:w="90" w:type="dxa"/>
              <w:left w:w="110" w:type="dxa"/>
              <w:bottom w:w="90" w:type="dxa"/>
              <w:right w:w="110" w:type="dxa"/>
            </w:tcMar>
          </w:tcPr>
          <w:p>
            <w:pPr>
              <w:spacing w:line="260" w:lineRule="auto"/>
            </w:pPr>
            <w:r>
              <w:rPr>
                <w:sz w:val="20"/>
                <w:szCs w:val="20"/>
              </w:rPr>
              <w:t xml:space="preserve">Determinar el tamaño del mercado de bebidas o el perfil demográfico de los clientes actuales.</w:t>
            </w:r>
          </w:p>
        </w:tc>
      </w:tr>
      <w:tr>
        <w:tc>
          <w:tcPr>
            <w:tcW w:w="1350" w:type="dxa"/>
            <w:tcMar>
              <w:top w:w="90" w:type="dxa"/>
              <w:left w:w="110" w:type="dxa"/>
              <w:bottom w:w="90" w:type="dxa"/>
              <w:right w:w="110" w:type="dxa"/>
            </w:tcMar>
          </w:tcPr>
          <w:p>
            <w:pPr>
              <w:spacing w:line="260" w:lineRule="auto"/>
            </w:pPr>
            <w:r>
              <w:rPr>
                <w:sz w:val="20"/>
                <w:szCs w:val="20"/>
              </w:rPr>
              <w:t xml:space="preserve">Diagnóstico</w:t>
            </w:r>
          </w:p>
        </w:tc>
        <w:tc>
          <w:tcPr>
            <w:tcW w:w="2650" w:type="dxa"/>
            <w:tcMar>
              <w:top w:w="90" w:type="dxa"/>
              <w:left w:w="110" w:type="dxa"/>
              <w:bottom w:w="90" w:type="dxa"/>
              <w:right w:w="110" w:type="dxa"/>
            </w:tcMar>
          </w:tcPr>
          <w:p>
            <w:pPr>
              <w:spacing w:line="260" w:lineRule="auto"/>
            </w:pPr>
            <w:r>
              <w:rPr>
                <w:sz w:val="20"/>
                <w:szCs w:val="20"/>
              </w:rPr>
              <w:t xml:space="preserve">¿Por qué está ocurriendo?</w:t>
            </w:r>
          </w:p>
        </w:tc>
        <w:tc>
          <w:tcPr>
            <w:tcW w:w="5000" w:type="dxa"/>
            <w:tcMar>
              <w:top w:w="90" w:type="dxa"/>
              <w:left w:w="110" w:type="dxa"/>
              <w:bottom w:w="90" w:type="dxa"/>
              <w:right w:w="110" w:type="dxa"/>
            </w:tcMar>
          </w:tcPr>
          <w:p>
            <w:pPr>
              <w:spacing w:line="260" w:lineRule="auto"/>
            </w:pPr>
            <w:r>
              <w:rPr>
                <w:sz w:val="20"/>
                <w:szCs w:val="20"/>
              </w:rPr>
              <w:t xml:space="preserve">Explicar por qué las ventas de una marca cayeron quince por ciento tras el rediseño de su empaque.</w:t>
            </w:r>
          </w:p>
        </w:tc>
      </w:tr>
      <w:tr>
        <w:tc>
          <w:tcPr>
            <w:tcW w:w="1350" w:type="dxa"/>
            <w:tcMar>
              <w:top w:w="90" w:type="dxa"/>
              <w:left w:w="110" w:type="dxa"/>
              <w:bottom w:w="90" w:type="dxa"/>
              <w:right w:w="110" w:type="dxa"/>
            </w:tcMar>
          </w:tcPr>
          <w:p>
            <w:pPr>
              <w:spacing w:line="260" w:lineRule="auto"/>
            </w:pPr>
            <w:r>
              <w:rPr>
                <w:sz w:val="20"/>
                <w:szCs w:val="20"/>
              </w:rPr>
              <w:t xml:space="preserve">Predictivo</w:t>
            </w:r>
          </w:p>
        </w:tc>
        <w:tc>
          <w:tcPr>
            <w:tcW w:w="2650" w:type="dxa"/>
            <w:tcMar>
              <w:top w:w="90" w:type="dxa"/>
              <w:left w:w="110" w:type="dxa"/>
              <w:bottom w:w="90" w:type="dxa"/>
              <w:right w:w="110" w:type="dxa"/>
            </w:tcMar>
          </w:tcPr>
          <w:p>
            <w:pPr>
              <w:spacing w:line="260" w:lineRule="auto"/>
            </w:pPr>
            <w:r>
              <w:rPr>
                <w:sz w:val="20"/>
                <w:szCs w:val="20"/>
              </w:rPr>
              <w:t xml:space="preserve">¿Qué ocurrirá si se decide una acción?</w:t>
            </w:r>
          </w:p>
        </w:tc>
        <w:tc>
          <w:tcPr>
            <w:tcW w:w="5000" w:type="dxa"/>
            <w:tcMar>
              <w:top w:w="90" w:type="dxa"/>
              <w:left w:w="110" w:type="dxa"/>
              <w:bottom w:w="90" w:type="dxa"/>
              <w:right w:w="110" w:type="dxa"/>
            </w:tcMar>
          </w:tcPr>
          <w:p>
            <w:pPr>
              <w:spacing w:line="260" w:lineRule="auto"/>
            </w:pPr>
            <w:r>
              <w:rPr>
                <w:sz w:val="20"/>
                <w:szCs w:val="20"/>
              </w:rPr>
              <w:t xml:space="preserve">Estimar la participación de mercado de un nuevo producto lanzado con precio premium.</w:t>
            </w:r>
          </w:p>
        </w:tc>
      </w:tr>
    </w:tbl>
    <w:p>
      <w:pPr>
        <w:spacing w:before="100" w:after="220"/>
        <w:jc w:val="center"/>
      </w:pPr>
      <w:r>
        <w:rPr>
          <w:sz w:val="18"/>
          <w:szCs w:val="18"/>
        </w:rPr>
        <w:t xml:space="preserve">Cuadro 1.3. Roles funcionales de la investigación de mercados.</w:t>
      </w:r>
    </w:p>
    <w:p>
      <w:pPr>
        <w:spacing w:after="140"/>
        <w:jc w:val="both"/>
      </w:pPr>
      <w:r>
        <w:t xml:space="preserve">El rol descriptivo consiste en recopilar y presentar hechos de manera estructurada, sin pronunciarse todavía sobre sus causas. El rol diagnóstico se enfoca en explicar el origen de los fenómenos comerciales observados. El rol predictivo utiliza la información descriptiva y diagnóstica acumulada para anticipar los resultados de una decisión planificada, que es exactamente lo que la gerencia necesita antes de comprometer recursos.</w:t>
      </w:r>
    </w:p>
    <w:p>
      <w:pPr>
        <w:pStyle w:val="Ttulo2"/>
        <w:keepNext/>
        <w:spacing w:before="360" w:after="160"/>
      </w:pPr>
      <w:r>
        <w:t xml:space="preserve">1.5. Clasificación de la investigación según su propósito</w:t>
      </w:r>
    </w:p>
    <w:p>
      <w:pPr>
        <w:spacing w:after="140"/>
        <w:jc w:val="both"/>
      </w:pPr>
      <w:r>
        <w:t xml:space="preserve">Las empresas deciden investigar por dos razones fundamentales: identificar problemas que aún no son evidentes o resolver problemas que ya se manifestaron. Esta distinción, propuesta por Malhotra, ordena la práctica profesional y determina el tipo de estudio que debe contratarse.</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10"/>
        <w:gridCol w:w="3420"/>
        <w:gridCol w:w="3270"/>
      </w:tblGrid>
      <w:tr>
        <w:trPr>
          <w:tblHeader/>
        </w:trPr>
        <w:tc>
          <w:tcPr>
            <w:tcW w:w="2310" w:type="dxa"/>
            <w:shd w:val="clear" w:color="auto" w:fill="E8E8E8"/>
            <w:tcMar>
              <w:top w:w="90" w:type="dxa"/>
              <w:left w:w="110" w:type="dxa"/>
              <w:bottom w:w="90" w:type="dxa"/>
              <w:right w:w="110" w:type="dxa"/>
            </w:tcMar>
          </w:tcPr>
          <w:p>
            <w:pPr>
              <w:spacing w:line="260" w:lineRule="auto"/>
            </w:pPr>
            <w:r>
              <w:rPr>
                <w:b/>
                <w:bCs/>
                <w:sz w:val="20"/>
                <w:szCs w:val="20"/>
              </w:rPr>
              <w:t xml:space="preserve">Tipo de investigación</w:t>
            </w:r>
          </w:p>
        </w:tc>
        <w:tc>
          <w:tcPr>
            <w:tcW w:w="3420" w:type="dxa"/>
            <w:shd w:val="clear" w:color="auto" w:fill="E8E8E8"/>
            <w:tcMar>
              <w:top w:w="90" w:type="dxa"/>
              <w:left w:w="110" w:type="dxa"/>
              <w:bottom w:w="90" w:type="dxa"/>
              <w:right w:w="110" w:type="dxa"/>
            </w:tcMar>
          </w:tcPr>
          <w:p>
            <w:pPr>
              <w:spacing w:line="260" w:lineRule="auto"/>
            </w:pPr>
            <w:r>
              <w:rPr>
                <w:b/>
                <w:bCs/>
                <w:sz w:val="20"/>
                <w:szCs w:val="20"/>
              </w:rPr>
              <w:t xml:space="preserve">Propósito principal</w:t>
            </w:r>
          </w:p>
        </w:tc>
        <w:tc>
          <w:tcPr>
            <w:tcW w:w="3270" w:type="dxa"/>
            <w:shd w:val="clear" w:color="auto" w:fill="E8E8E8"/>
            <w:tcMar>
              <w:top w:w="90" w:type="dxa"/>
              <w:left w:w="110" w:type="dxa"/>
              <w:bottom w:w="90" w:type="dxa"/>
              <w:right w:w="110" w:type="dxa"/>
            </w:tcMar>
          </w:tcPr>
          <w:p>
            <w:pPr>
              <w:spacing w:line="260" w:lineRule="auto"/>
            </w:pPr>
            <w:r>
              <w:rPr>
                <w:b/>
                <w:bCs/>
                <w:sz w:val="20"/>
                <w:szCs w:val="20"/>
              </w:rPr>
              <w:t xml:space="preserve">Ejemplos de aplicación</w:t>
            </w:r>
          </w:p>
        </w:tc>
      </w:tr>
      <w:tr>
        <w:tc>
          <w:tcPr>
            <w:tcW w:w="2310" w:type="dxa"/>
            <w:tcMar>
              <w:top w:w="90" w:type="dxa"/>
              <w:left w:w="110" w:type="dxa"/>
              <w:bottom w:w="90" w:type="dxa"/>
              <w:right w:w="110" w:type="dxa"/>
            </w:tcMar>
          </w:tcPr>
          <w:p>
            <w:pPr>
              <w:spacing w:line="260" w:lineRule="auto"/>
            </w:pPr>
            <w:r>
              <w:rPr>
                <w:sz w:val="20"/>
                <w:szCs w:val="20"/>
              </w:rPr>
              <w:t xml:space="preserve">Investigación para la identificación de problemas</w:t>
            </w:r>
          </w:p>
        </w:tc>
        <w:tc>
          <w:tcPr>
            <w:tcW w:w="3420" w:type="dxa"/>
            <w:tcMar>
              <w:top w:w="90" w:type="dxa"/>
              <w:left w:w="110" w:type="dxa"/>
              <w:bottom w:w="90" w:type="dxa"/>
              <w:right w:w="110" w:type="dxa"/>
            </w:tcMar>
          </w:tcPr>
          <w:p>
            <w:pPr>
              <w:spacing w:line="260" w:lineRule="auto"/>
            </w:pPr>
            <w:r>
              <w:rPr>
                <w:sz w:val="20"/>
                <w:szCs w:val="20"/>
              </w:rPr>
              <w:t xml:space="preserve">Detectar problemas u oportunidades que no son evidentes a primera vista, pero que afectarán el desempeño futuro de la organización.</w:t>
            </w:r>
          </w:p>
        </w:tc>
        <w:tc>
          <w:tcPr>
            <w:tcW w:w="3270" w:type="dxa"/>
            <w:tcMar>
              <w:top w:w="90" w:type="dxa"/>
              <w:left w:w="110" w:type="dxa"/>
              <w:bottom w:w="90" w:type="dxa"/>
              <w:right w:w="110" w:type="dxa"/>
            </w:tcMar>
          </w:tcPr>
          <w:p>
            <w:pPr>
              <w:spacing w:line="260" w:lineRule="auto"/>
            </w:pPr>
            <w:r>
              <w:rPr>
                <w:sz w:val="20"/>
                <w:szCs w:val="20"/>
              </w:rPr>
              <w:t xml:space="preserve">Estudios de potencial de mercado.</w:t>
            </w:r>
          </w:p>
          <w:p>
            <w:pPr>
              <w:spacing w:line="260" w:lineRule="auto"/>
            </w:pPr>
            <w:r>
              <w:rPr>
                <w:sz w:val="20"/>
                <w:szCs w:val="20"/>
              </w:rPr>
              <w:t xml:space="preserve">Análisis de participación de mercado.</w:t>
            </w:r>
          </w:p>
          <w:p>
            <w:pPr>
              <w:spacing w:line="260" w:lineRule="auto"/>
            </w:pPr>
            <w:r>
              <w:rPr>
                <w:sz w:val="20"/>
                <w:szCs w:val="20"/>
              </w:rPr>
              <w:t xml:space="preserve">Investigación de imagen de marca.</w:t>
            </w:r>
          </w:p>
          <w:p>
            <w:pPr>
              <w:spacing w:line="260" w:lineRule="auto"/>
            </w:pPr>
            <w:r>
              <w:rPr>
                <w:sz w:val="20"/>
                <w:szCs w:val="20"/>
              </w:rPr>
              <w:t xml:space="preserve">Pronósticos de ventas y tendencias sectoriales.</w:t>
            </w:r>
          </w:p>
        </w:tc>
      </w:tr>
      <w:tr>
        <w:tc>
          <w:tcPr>
            <w:tcW w:w="2310" w:type="dxa"/>
            <w:tcMar>
              <w:top w:w="90" w:type="dxa"/>
              <w:left w:w="110" w:type="dxa"/>
              <w:bottom w:w="90" w:type="dxa"/>
              <w:right w:w="110" w:type="dxa"/>
            </w:tcMar>
          </w:tcPr>
          <w:p>
            <w:pPr>
              <w:spacing w:line="260" w:lineRule="auto"/>
            </w:pPr>
            <w:r>
              <w:rPr>
                <w:sz w:val="20"/>
                <w:szCs w:val="20"/>
              </w:rPr>
              <w:t xml:space="preserve">Investigación para la solución de problemas</w:t>
            </w:r>
          </w:p>
        </w:tc>
        <w:tc>
          <w:tcPr>
            <w:tcW w:w="3420" w:type="dxa"/>
            <w:tcMar>
              <w:top w:w="90" w:type="dxa"/>
              <w:left w:w="110" w:type="dxa"/>
              <w:bottom w:w="90" w:type="dxa"/>
              <w:right w:w="110" w:type="dxa"/>
            </w:tcMar>
          </w:tcPr>
          <w:p>
            <w:pPr>
              <w:spacing w:line="260" w:lineRule="auto"/>
            </w:pPr>
            <w:r>
              <w:rPr>
                <w:sz w:val="20"/>
                <w:szCs w:val="20"/>
              </w:rPr>
              <w:t xml:space="preserve">Generar hallazgos aplicables para tomar decisiones que resuelvan un problema de marketing ya identificado.</w:t>
            </w:r>
          </w:p>
        </w:tc>
        <w:tc>
          <w:tcPr>
            <w:tcW w:w="3270" w:type="dxa"/>
            <w:tcMar>
              <w:top w:w="90" w:type="dxa"/>
              <w:left w:w="110" w:type="dxa"/>
              <w:bottom w:w="90" w:type="dxa"/>
              <w:right w:w="110" w:type="dxa"/>
            </w:tcMar>
          </w:tcPr>
          <w:p>
            <w:pPr>
              <w:spacing w:line="260" w:lineRule="auto"/>
            </w:pPr>
            <w:r>
              <w:rPr>
                <w:sz w:val="20"/>
                <w:szCs w:val="20"/>
              </w:rPr>
              <w:t xml:space="preserve">Segmentación: perfiles de consumidores.</w:t>
            </w:r>
          </w:p>
          <w:p>
            <w:pPr>
              <w:spacing w:line="260" w:lineRule="auto"/>
            </w:pPr>
            <w:r>
              <w:rPr>
                <w:sz w:val="20"/>
                <w:szCs w:val="20"/>
              </w:rPr>
              <w:t xml:space="preserve">Producto: pruebas de concepto y de empaque.</w:t>
            </w:r>
          </w:p>
          <w:p>
            <w:pPr>
              <w:spacing w:line="260" w:lineRule="auto"/>
            </w:pPr>
            <w:r>
              <w:rPr>
                <w:sz w:val="20"/>
                <w:szCs w:val="20"/>
              </w:rPr>
              <w:t xml:space="preserve">Precio: elasticidad y sensibilidad de compra.</w:t>
            </w:r>
          </w:p>
          <w:p>
            <w:pPr>
              <w:spacing w:line="260" w:lineRule="auto"/>
            </w:pPr>
            <w:r>
              <w:rPr>
                <w:sz w:val="20"/>
                <w:szCs w:val="20"/>
              </w:rPr>
              <w:t xml:space="preserve">Distribución: cobertura y desempeño de canales.</w:t>
            </w:r>
          </w:p>
        </w:tc>
      </w:tr>
    </w:tbl>
    <w:p>
      <w:pPr>
        <w:spacing w:before="100" w:after="220"/>
        <w:jc w:val="center"/>
      </w:pPr>
      <w:r>
        <w:rPr>
          <w:sz w:val="18"/>
          <w:szCs w:val="18"/>
        </w:rPr>
        <w:t xml:space="preserve">Cuadro 1.4. Clasificación de la investigación de mercados según su propósito.</w:t>
      </w:r>
    </w:p>
    <w:p>
      <w:pPr>
        <w:spacing w:after="140"/>
        <w:jc w:val="both"/>
      </w:pPr>
      <w:r>
        <w:t xml:space="preserve">En la práctica ambos tipos se encadenan. Un estudio de tendencias detecta una oportunidad latente, y a continuación un estudio de solución de problemas define el concepto de producto, el precio y el canal con los que se aprovechará esa oportunidad. El caso de Campbell's, desarrollado más adelante en este capítulo, ilustra con precisión esta secuencia.</w:t>
      </w:r>
    </w:p>
    <w:p>
      <w:pPr>
        <w:pStyle w:val="Ttulo2"/>
        <w:keepNext/>
        <w:spacing w:before="360" w:after="160"/>
      </w:pPr>
      <w:r>
        <w:t xml:space="preserve">1.6. Los pasos secuenciales del proceso de investigación cuantitativa</w:t>
      </w:r>
    </w:p>
    <w:p>
      <w:pPr>
        <w:spacing w:after="140"/>
        <w:jc w:val="both"/>
      </w:pPr>
      <w:r>
        <w:t xml:space="preserve">Para ejecutar un estudio con rigor metodológico, el investigador debe seguir una secuencia lógica y repetible. A continuación se contrastan los dos marcos de trabajo aceptados por la academia y la industria: el esquema institucional estructurado de ocho pasos, que se empleará a lo largo del curso, y el modelo clásico de seis pasos de Naresh Malhotra. Ambos describen el mismo recorrido; el primero desagrega con mayor detalle las fases operativas.</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500"/>
        <w:gridCol w:w="4500"/>
      </w:tblGrid>
      <w:tr>
        <w:trPr>
          <w:tblHeader/>
        </w:trPr>
        <w:tc>
          <w:tcPr>
            <w:tcW w:w="4500" w:type="dxa"/>
            <w:shd w:val="clear" w:color="auto" w:fill="E8E8E8"/>
            <w:tcMar>
              <w:top w:w="90" w:type="dxa"/>
              <w:left w:w="110" w:type="dxa"/>
              <w:bottom w:w="90" w:type="dxa"/>
              <w:right w:w="110" w:type="dxa"/>
            </w:tcMar>
          </w:tcPr>
          <w:p>
            <w:pPr>
              <w:spacing w:line="260" w:lineRule="auto"/>
            </w:pPr>
            <w:r>
              <w:rPr>
                <w:b/>
                <w:bCs/>
                <w:sz w:val="20"/>
                <w:szCs w:val="20"/>
              </w:rPr>
              <w:t xml:space="preserve">Enfoque institucional de ocho pasos</w:t>
            </w:r>
          </w:p>
        </w:tc>
        <w:tc>
          <w:tcPr>
            <w:tcW w:w="4500" w:type="dxa"/>
            <w:shd w:val="clear" w:color="auto" w:fill="E8E8E8"/>
            <w:tcMar>
              <w:top w:w="90" w:type="dxa"/>
              <w:left w:w="110" w:type="dxa"/>
              <w:bottom w:w="90" w:type="dxa"/>
              <w:right w:w="110" w:type="dxa"/>
            </w:tcMar>
          </w:tcPr>
          <w:p>
            <w:pPr>
              <w:spacing w:line="260" w:lineRule="auto"/>
            </w:pPr>
            <w:r>
              <w:rPr>
                <w:b/>
                <w:bCs/>
                <w:sz w:val="20"/>
                <w:szCs w:val="20"/>
              </w:rPr>
              <w:t xml:space="preserve">Enfoque clásico de Malhotra</w:t>
            </w:r>
          </w:p>
        </w:tc>
      </w:tr>
      <w:tr>
        <w:tc>
          <w:tcPr>
            <w:tcW w:w="4500" w:type="dxa"/>
            <w:tcMar>
              <w:top w:w="90" w:type="dxa"/>
              <w:left w:w="110" w:type="dxa"/>
              <w:bottom w:w="90" w:type="dxa"/>
              <w:right w:w="110" w:type="dxa"/>
            </w:tcMar>
          </w:tcPr>
          <w:p>
            <w:pPr>
              <w:spacing w:line="260" w:lineRule="auto"/>
            </w:pPr>
            <w:r>
              <w:rPr>
                <w:sz w:val="20"/>
                <w:szCs w:val="20"/>
              </w:rPr>
              <w:t xml:space="preserve">Paso 1. Problema y objetivos</w:t>
            </w:r>
          </w:p>
        </w:tc>
        <w:tc>
          <w:tcPr>
            <w:tcW w:w="4500" w:type="dxa"/>
            <w:tcMar>
              <w:top w:w="90" w:type="dxa"/>
              <w:left w:w="110" w:type="dxa"/>
              <w:bottom w:w="90" w:type="dxa"/>
              <w:right w:w="110" w:type="dxa"/>
            </w:tcMar>
          </w:tcPr>
          <w:p>
            <w:pPr>
              <w:spacing w:line="260" w:lineRule="auto"/>
            </w:pPr>
            <w:r>
              <w:rPr>
                <w:sz w:val="20"/>
                <w:szCs w:val="20"/>
              </w:rPr>
              <w:t xml:space="preserve">Paso 1. Definición del problema</w:t>
            </w:r>
          </w:p>
        </w:tc>
      </w:tr>
      <w:tr>
        <w:tc>
          <w:tcPr>
            <w:tcW w:w="4500" w:type="dxa"/>
            <w:tcMar>
              <w:top w:w="90" w:type="dxa"/>
              <w:left w:w="110" w:type="dxa"/>
              <w:bottom w:w="90" w:type="dxa"/>
              <w:right w:w="110" w:type="dxa"/>
            </w:tcMar>
          </w:tcPr>
          <w:p>
            <w:pPr>
              <w:spacing w:line="260" w:lineRule="auto"/>
            </w:pPr>
            <w:r>
              <w:rPr>
                <w:sz w:val="20"/>
                <w:szCs w:val="20"/>
              </w:rPr>
              <w:t xml:space="preserve">Paso 2. Antecedentes y variables</w:t>
            </w:r>
          </w:p>
        </w:tc>
        <w:tc>
          <w:tcPr>
            <w:tcW w:w="4500" w:type="dxa"/>
            <w:tcMar>
              <w:top w:w="90" w:type="dxa"/>
              <w:left w:w="110" w:type="dxa"/>
              <w:bottom w:w="90" w:type="dxa"/>
              <w:right w:w="110" w:type="dxa"/>
            </w:tcMar>
          </w:tcPr>
          <w:p>
            <w:pPr>
              <w:spacing w:line="260" w:lineRule="auto"/>
            </w:pPr>
            <w:r>
              <w:rPr>
                <w:sz w:val="20"/>
                <w:szCs w:val="20"/>
              </w:rPr>
              <w:t xml:space="preserve">Paso 2. Desarrollo del enfoque del problema</w:t>
            </w:r>
          </w:p>
        </w:tc>
      </w:tr>
      <w:tr>
        <w:tc>
          <w:tcPr>
            <w:tcW w:w="4500" w:type="dxa"/>
            <w:tcMar>
              <w:top w:w="90" w:type="dxa"/>
              <w:left w:w="110" w:type="dxa"/>
              <w:bottom w:w="90" w:type="dxa"/>
              <w:right w:w="110" w:type="dxa"/>
            </w:tcMar>
          </w:tcPr>
          <w:p>
            <w:pPr>
              <w:spacing w:line="260" w:lineRule="auto"/>
            </w:pPr>
            <w:r>
              <w:rPr>
                <w:sz w:val="20"/>
                <w:szCs w:val="20"/>
              </w:rPr>
              <w:t xml:space="preserve">Paso 3. Diseño metodológico</w:t>
            </w:r>
          </w:p>
        </w:tc>
        <w:tc>
          <w:tcPr>
            <w:tcW w:w="4500" w:type="dxa"/>
            <w:tcMar>
              <w:top w:w="90" w:type="dxa"/>
              <w:left w:w="110" w:type="dxa"/>
              <w:bottom w:w="90" w:type="dxa"/>
              <w:right w:w="110" w:type="dxa"/>
            </w:tcMar>
          </w:tcPr>
          <w:p>
            <w:pPr>
              <w:spacing w:line="260" w:lineRule="auto"/>
            </w:pPr>
            <w:r>
              <w:rPr>
                <w:sz w:val="20"/>
                <w:szCs w:val="20"/>
              </w:rPr>
              <w:t xml:space="preserve">Paso 3. Formulación del diseño de investigación</w:t>
            </w:r>
          </w:p>
        </w:tc>
      </w:tr>
      <w:tr>
        <w:tc>
          <w:tcPr>
            <w:tcW w:w="4500" w:type="dxa"/>
            <w:tcMar>
              <w:top w:w="90" w:type="dxa"/>
              <w:left w:w="110" w:type="dxa"/>
              <w:bottom w:w="90" w:type="dxa"/>
              <w:right w:w="110" w:type="dxa"/>
            </w:tcMar>
          </w:tcPr>
          <w:p>
            <w:pPr>
              <w:spacing w:line="260" w:lineRule="auto"/>
            </w:pPr>
            <w:r>
              <w:rPr>
                <w:sz w:val="20"/>
                <w:szCs w:val="20"/>
              </w:rPr>
              <w:t xml:space="preserve">Paso 4. Prueba piloto</w:t>
            </w:r>
          </w:p>
        </w:tc>
        <w:tc>
          <w:tcPr>
            <w:tcW w:w="4500" w:type="dxa"/>
            <w:tcMar>
              <w:top w:w="90" w:type="dxa"/>
              <w:left w:w="110" w:type="dxa"/>
              <w:bottom w:w="90" w:type="dxa"/>
              <w:right w:w="110" w:type="dxa"/>
            </w:tcMar>
          </w:tcPr>
          <w:p>
            <w:pPr>
              <w:spacing w:line="260" w:lineRule="auto"/>
            </w:pPr>
            <w:r>
              <w:rPr>
                <w:sz w:val="20"/>
                <w:szCs w:val="20"/>
              </w:rPr>
              <w:t xml:space="preserve">Paso 3. Formulación del diseño de investigación</w:t>
            </w:r>
          </w:p>
        </w:tc>
      </w:tr>
      <w:tr>
        <w:tc>
          <w:tcPr>
            <w:tcW w:w="4500" w:type="dxa"/>
            <w:tcMar>
              <w:top w:w="90" w:type="dxa"/>
              <w:left w:w="110" w:type="dxa"/>
              <w:bottom w:w="90" w:type="dxa"/>
              <w:right w:w="110" w:type="dxa"/>
            </w:tcMar>
          </w:tcPr>
          <w:p>
            <w:pPr>
              <w:spacing w:line="260" w:lineRule="auto"/>
            </w:pPr>
            <w:r>
              <w:rPr>
                <w:sz w:val="20"/>
                <w:szCs w:val="20"/>
              </w:rPr>
              <w:t xml:space="preserve">Paso 5. Trabajo de campo</w:t>
            </w:r>
          </w:p>
        </w:tc>
        <w:tc>
          <w:tcPr>
            <w:tcW w:w="4500" w:type="dxa"/>
            <w:tcMar>
              <w:top w:w="90" w:type="dxa"/>
              <w:left w:w="110" w:type="dxa"/>
              <w:bottom w:w="90" w:type="dxa"/>
              <w:right w:w="110" w:type="dxa"/>
            </w:tcMar>
          </w:tcPr>
          <w:p>
            <w:pPr>
              <w:spacing w:line="260" w:lineRule="auto"/>
            </w:pPr>
            <w:r>
              <w:rPr>
                <w:sz w:val="20"/>
                <w:szCs w:val="20"/>
              </w:rPr>
              <w:t xml:space="preserve">Paso 4. Trabajo de campo o recopilación de datos</w:t>
            </w:r>
          </w:p>
        </w:tc>
      </w:tr>
      <w:tr>
        <w:tc>
          <w:tcPr>
            <w:tcW w:w="4500" w:type="dxa"/>
            <w:tcMar>
              <w:top w:w="90" w:type="dxa"/>
              <w:left w:w="110" w:type="dxa"/>
              <w:bottom w:w="90" w:type="dxa"/>
              <w:right w:w="110" w:type="dxa"/>
            </w:tcMar>
          </w:tcPr>
          <w:p>
            <w:pPr>
              <w:spacing w:line="260" w:lineRule="auto"/>
            </w:pPr>
            <w:r>
              <w:rPr>
                <w:sz w:val="20"/>
                <w:szCs w:val="20"/>
              </w:rPr>
              <w:t xml:space="preserve">Paso 6. Procesamiento y análisis</w:t>
            </w:r>
          </w:p>
        </w:tc>
        <w:tc>
          <w:tcPr>
            <w:tcW w:w="4500" w:type="dxa"/>
            <w:tcMar>
              <w:top w:w="90" w:type="dxa"/>
              <w:left w:w="110" w:type="dxa"/>
              <w:bottom w:w="90" w:type="dxa"/>
              <w:right w:w="110" w:type="dxa"/>
            </w:tcMar>
          </w:tcPr>
          <w:p>
            <w:pPr>
              <w:spacing w:line="260" w:lineRule="auto"/>
            </w:pPr>
            <w:r>
              <w:rPr>
                <w:sz w:val="20"/>
                <w:szCs w:val="20"/>
              </w:rPr>
              <w:t xml:space="preserve">Paso 5. Preparación y análisis de datos</w:t>
            </w:r>
          </w:p>
        </w:tc>
      </w:tr>
      <w:tr>
        <w:tc>
          <w:tcPr>
            <w:tcW w:w="4500" w:type="dxa"/>
            <w:tcMar>
              <w:top w:w="90" w:type="dxa"/>
              <w:left w:w="110" w:type="dxa"/>
              <w:bottom w:w="90" w:type="dxa"/>
              <w:right w:w="110" w:type="dxa"/>
            </w:tcMar>
          </w:tcPr>
          <w:p>
            <w:pPr>
              <w:spacing w:line="260" w:lineRule="auto"/>
            </w:pPr>
            <w:r>
              <w:rPr>
                <w:sz w:val="20"/>
                <w:szCs w:val="20"/>
              </w:rPr>
              <w:t xml:space="preserve">Paso 7. Informe y comunicación</w:t>
            </w:r>
          </w:p>
        </w:tc>
        <w:tc>
          <w:tcPr>
            <w:tcW w:w="4500" w:type="dxa"/>
            <w:tcMar>
              <w:top w:w="90" w:type="dxa"/>
              <w:left w:w="110" w:type="dxa"/>
              <w:bottom w:w="90" w:type="dxa"/>
              <w:right w:w="110" w:type="dxa"/>
            </w:tcMar>
          </w:tcPr>
          <w:p>
            <w:pPr>
              <w:spacing w:line="260" w:lineRule="auto"/>
            </w:pPr>
            <w:r>
              <w:rPr>
                <w:sz w:val="20"/>
                <w:szCs w:val="20"/>
              </w:rPr>
              <w:t xml:space="preserve">Paso 6. Elaboración y presentación del informe</w:t>
            </w:r>
          </w:p>
        </w:tc>
      </w:tr>
      <w:tr>
        <w:tc>
          <w:tcPr>
            <w:tcW w:w="4500" w:type="dxa"/>
            <w:tcMar>
              <w:top w:w="90" w:type="dxa"/>
              <w:left w:w="110" w:type="dxa"/>
              <w:bottom w:w="90" w:type="dxa"/>
              <w:right w:w="110" w:type="dxa"/>
            </w:tcMar>
          </w:tcPr>
          <w:p>
            <w:pPr>
              <w:spacing w:line="260" w:lineRule="auto"/>
            </w:pPr>
            <w:r>
              <w:rPr>
                <w:sz w:val="20"/>
                <w:szCs w:val="20"/>
              </w:rPr>
              <w:t xml:space="preserve">Paso 8. Conclusiones y recomendaciones</w:t>
            </w:r>
          </w:p>
        </w:tc>
        <w:tc>
          <w:tcPr>
            <w:tcW w:w="4500" w:type="dxa"/>
            <w:tcMar>
              <w:top w:w="90" w:type="dxa"/>
              <w:left w:w="110" w:type="dxa"/>
              <w:bottom w:w="90" w:type="dxa"/>
              <w:right w:w="110" w:type="dxa"/>
            </w:tcMar>
          </w:tcPr>
          <w:p>
            <w:pPr>
              <w:spacing w:line="260" w:lineRule="auto"/>
            </w:pPr>
            <w:r>
              <w:rPr>
                <w:sz w:val="20"/>
                <w:szCs w:val="20"/>
              </w:rPr>
              <w:t xml:space="preserve">Paso 6. Elaboración y presentación del informe</w:t>
            </w:r>
          </w:p>
        </w:tc>
      </w:tr>
    </w:tbl>
    <w:p>
      <w:pPr>
        <w:spacing w:before="100" w:after="220"/>
        <w:jc w:val="center"/>
      </w:pPr>
      <w:r>
        <w:rPr>
          <w:sz w:val="18"/>
          <w:szCs w:val="18"/>
        </w:rPr>
        <w:t xml:space="preserve">Cuadro 1.5. Correspondencia entre el enfoque institucional y el modelo de Malhotra.</w:t>
      </w:r>
    </w:p>
    <w:p>
      <w:pPr>
        <w:pStyle w:val="Ttulo3"/>
        <w:keepNext/>
        <w:spacing w:before="280" w:after="140"/>
      </w:pPr>
      <w:r>
        <w:t xml:space="preserve">Fases detalladas del enfoque institucional</w:t>
      </w:r>
    </w:p>
    <w:p>
      <w:pPr>
        <w:pStyle w:val="Prrafodelista"/>
        <w:numPr>
          <w:ilvl w:val="0"/>
          <w:numId w:val="2"/>
        </w:numPr>
        <w:spacing w:after="100"/>
        <w:jc w:val="both"/>
      </w:pPr>
      <w:r>
        <w:t xml:space="preserve">Problema y objetivos. Consiste en delimitar la oportunidad de mercado o el problema de decisión gerencial y traducirlo en un problema de investigación de mercados cuantificable, definiendo con precisión qué información específica se necesita recopilar y para qué decisión servirá.</w:t>
      </w:r>
    </w:p>
    <w:p>
      <w:pPr>
        <w:pStyle w:val="Prrafodelista"/>
        <w:numPr>
          <w:ilvl w:val="0"/>
          <w:numId w:val="2"/>
        </w:numPr>
        <w:spacing w:after="100"/>
        <w:jc w:val="both"/>
      </w:pPr>
      <w:r>
        <w:t xml:space="preserve">Antecedentes y variables. Se revisa la literatura, las fuentes secundarias y las investigaciones previas para identificar las variables críticas de marketing que serán medidas, como la intención de compra, la lealtad a la marca o la satisfacción, y se plantean las hipótesis de trabajo que el estudio someterá a prueba.</w:t>
      </w:r>
    </w:p>
    <w:p>
      <w:pPr>
        <w:pStyle w:val="Prrafodelista"/>
        <w:numPr>
          <w:ilvl w:val="0"/>
          <w:numId w:val="2"/>
        </w:numPr>
        <w:spacing w:after="100"/>
        <w:jc w:val="both"/>
      </w:pPr>
      <w:r>
        <w:t xml:space="preserve">Diseño metodológico. Se establece el plan maestro del estudio: se decide el método de encuesta, personal, telefónica o en línea, se define el plan operativo de muestreo, probabilístico o no probabilístico, se determina matemáticamente el tamaño de la muestra y se redacta el cuestionario estructurado.</w:t>
      </w:r>
    </w:p>
    <w:p>
      <w:pPr>
        <w:pStyle w:val="Prrafodelista"/>
        <w:numPr>
          <w:ilvl w:val="0"/>
          <w:numId w:val="2"/>
        </w:numPr>
        <w:spacing w:after="100"/>
        <w:jc w:val="both"/>
      </w:pPr>
      <w:r>
        <w:t xml:space="preserve">Prueba piloto. Se aplica el borrador del cuestionario a una muestra muy reducida con el fin de detectar problemas de redacción, de flujo, alternativas confusas o fallas en el formato digital de recolección, y se realizan los ajustes correspondientes antes de salir al campo definitivo.</w:t>
      </w:r>
    </w:p>
    <w:p>
      <w:pPr>
        <w:pStyle w:val="Prrafodelista"/>
        <w:numPr>
          <w:ilvl w:val="0"/>
          <w:numId w:val="2"/>
        </w:numPr>
        <w:spacing w:after="100"/>
        <w:jc w:val="both"/>
      </w:pPr>
      <w:r>
        <w:t xml:space="preserve">Trabajo de campo. Es el proceso logístico de recopilación de datos, en el que los encuestadores aplican el cuestionario definitivo a la muestra seleccionada garantizando el control ético y la calidad del llenado.</w:t>
      </w:r>
    </w:p>
    <w:p>
      <w:pPr>
        <w:pStyle w:val="Prrafodelista"/>
        <w:numPr>
          <w:ilvl w:val="0"/>
          <w:numId w:val="2"/>
        </w:numPr>
        <w:spacing w:after="100"/>
        <w:jc w:val="both"/>
      </w:pPr>
      <w:r>
        <w:t xml:space="preserve">Procesamiento y análisis. Los cuestionarios recolectados se someten a control de calidad mediante validación y edición. Luego se diseña una matriz de datos para su depuración y codificación, y se importa a un software especializado, como Jamovi, para el procesamiento estadístico descriptivo e inferencial.</w:t>
      </w:r>
    </w:p>
    <w:p>
      <w:pPr>
        <w:pStyle w:val="Prrafodelista"/>
        <w:numPr>
          <w:ilvl w:val="0"/>
          <w:numId w:val="2"/>
        </w:numPr>
        <w:spacing w:after="100"/>
        <w:jc w:val="both"/>
      </w:pPr>
      <w:r>
        <w:t xml:space="preserve">Informe y comunicación. Se estructuran los hallazgos en un informe escrito y se prepara una exposición ejecutiva visual, con gráficos y cuadros, adaptada al lenguaje de la toma de decisiones y no al lenguaje estadístico del analista.</w:t>
      </w:r>
    </w:p>
    <w:p>
      <w:pPr>
        <w:pStyle w:val="Prrafodelista"/>
        <w:numPr>
          <w:ilvl w:val="0"/>
          <w:numId w:val="2"/>
        </w:numPr>
        <w:spacing w:after="100"/>
        <w:jc w:val="both"/>
      </w:pPr>
      <w:r>
        <w:t xml:space="preserve">Conclusiones y recomendaciones. Se formulan generalizaciones objetivas alineadas con los objetivos de investigación y se presentan sugerencias de acción tácticas y comerciales orientadas a resolver el problema gerencial que originó el estudio.</w:t>
      </w:r>
    </w:p>
    <w:p>
      <w:pPr>
        <w:spacing w:after="140"/>
        <w:jc w:val="both"/>
      </w:pPr>
      <w:r>
        <w:t xml:space="preserve">La secuencia no admite atajos. Omitir la prueba piloto ahorra días, pero traslada al trabajo de campo errores que ya no podrán corregirse; iniciar el trabajo de campo sin haber determinado el tamaño de muestra impide calcular el margen de error; y redactar conclusiones que no responden a los objetivos planteados en el primer paso convierte el informe en un documento inútil para la gerencia.</w:t>
      </w:r>
    </w:p>
    <w:p>
      <w:pPr>
        <w:pStyle w:val="Ttulo2"/>
        <w:keepNext/>
        <w:spacing w:before="360" w:after="160"/>
      </w:pPr>
      <w:r>
        <w:t xml:space="preserve">1.7. Valoración económica de la decisión de investigar</w:t>
      </w:r>
    </w:p>
    <w:p>
      <w:pPr>
        <w:spacing w:after="140"/>
        <w:jc w:val="both"/>
      </w:pPr>
      <w:r>
        <w:t xml:space="preserve">El principio de value for money puede expresarse de manera cuantitativa mediante el modelo del valor esperado de la información de mercados. El modelo compara el resultado esperado de la mejor decisión que la gerencia tomaría con los hallazgos del estudio frente al resultado esperado de la mejor decisión que tomaría sin ellos, y descuenta de esa diferencia el costo de realizar la investigación.</w:t>
      </w:r>
    </w:p>
    <w:p>
      <w:pPr>
        <w:spacing w:before="120" w:after="160" w:line="280" w:lineRule="auto"/>
        <w:jc w:val="center"/>
      </w:pPr>
      <w:r>
        <w:rPr>
          <w:rFonts w:ascii="Consolas" w:eastAsia="Consolas" w:hAnsi="Consolas" w:cs="Consolas"/>
          <w:sz w:val="21"/>
          <w:szCs w:val="21"/>
        </w:rPr>
        <w:t xml:space="preserve">VI = (VD con info − CI) − VD sin info</w:t>
      </w:r>
    </w:p>
    <w:p>
      <w:pPr>
        <w:spacing w:after="140"/>
        <w:jc w:val="both"/>
      </w:pPr>
      <w:r>
        <w:t xml:space="preserve">Donde cada término se define de la siguiente manera.</w:t>
      </w:r>
    </w:p>
    <w:p>
      <w:pPr>
        <w:pStyle w:val="Prrafodelista"/>
        <w:numPr>
          <w:ilvl w:val="0"/>
          <w:numId w:val="3"/>
        </w:numPr>
        <w:spacing w:after="100"/>
        <w:jc w:val="both"/>
      </w:pPr>
      <w:r>
        <w:t xml:space="preserve">VI es el valor neto de la investigación de mercados.</w:t>
      </w:r>
    </w:p>
    <w:p>
      <w:pPr>
        <w:pStyle w:val="Prrafodelista"/>
        <w:numPr>
          <w:ilvl w:val="0"/>
          <w:numId w:val="3"/>
        </w:numPr>
        <w:spacing w:after="100"/>
        <w:jc w:val="both"/>
      </w:pPr>
      <w:r>
        <w:t xml:space="preserve">VD con info es el valor esperado o retorno de la decisión gerencial optimizada gracias a los hallazgos de la investigación.</w:t>
      </w:r>
    </w:p>
    <w:p>
      <w:pPr>
        <w:pStyle w:val="Prrafodelista"/>
        <w:numPr>
          <w:ilvl w:val="0"/>
          <w:numId w:val="3"/>
        </w:numPr>
        <w:spacing w:after="100"/>
        <w:jc w:val="both"/>
      </w:pPr>
      <w:r>
        <w:t xml:space="preserve">VD sin info es el valor esperado de la mejor decisión gerencial tomada únicamente sobre la base de la intuición o de la información que la empresa ya posee.</w:t>
      </w:r>
    </w:p>
    <w:p>
      <w:pPr>
        <w:pStyle w:val="Prrafodelista"/>
        <w:numPr>
          <w:ilvl w:val="0"/>
          <w:numId w:val="3"/>
        </w:numPr>
        <w:spacing w:after="100"/>
        <w:jc w:val="both"/>
      </w:pPr>
      <w:r>
        <w:t xml:space="preserve">CI es el costo total de realización de la investigación, que comprende el trabajo de campo, los honorarios del analista y el procesamiento de los datos.</w:t>
      </w:r>
    </w:p>
    <w:p>
      <w:pPr>
        <w:pStyle w:val="Ttulo3"/>
        <w:keepNext/>
        <w:spacing w:before="280" w:after="140"/>
      </w:pPr>
      <w:r>
        <w:t xml:space="preserve">Criterio de decisión</w:t>
      </w:r>
    </w:p>
    <w:p>
      <w:pPr>
        <w:pStyle w:val="Prrafodelista"/>
        <w:numPr>
          <w:ilvl w:val="0"/>
          <w:numId w:val="3"/>
        </w:numPr>
        <w:spacing w:after="100"/>
        <w:jc w:val="both"/>
      </w:pPr>
      <w:r>
        <w:t xml:space="preserve">Si VI es mayor que cero, se aprueba la realización de la investigación, ya que el estudio reduce el riesgo de pérdida y resulta rentable para la organización.</w:t>
      </w:r>
    </w:p>
    <w:p>
      <w:pPr>
        <w:pStyle w:val="Prrafodelista"/>
        <w:numPr>
          <w:ilvl w:val="0"/>
          <w:numId w:val="3"/>
        </w:numPr>
        <w:spacing w:after="100"/>
        <w:jc w:val="both"/>
      </w:pPr>
      <w:r>
        <w:t xml:space="preserve">Si VI es menor o igual que cero, no se realiza el estudio y la gerencia debe decidir con la información disponible.</w:t>
      </w:r>
    </w:p>
    <w:p>
      <w:pPr>
        <w:spacing w:after="140"/>
        <w:jc w:val="both"/>
      </w:pPr>
      <w:r>
        <w:t xml:space="preserve">Del modelo se deriva un segundo resultado de utilidad práctica: el precio máximo racional que la empresa debería estar dispuesta a pagar por el estudio equivale a la diferencia entre el valor de la decisión con información y el valor de la decisión sin ella. Cualquier propuesta comercial que supere ese umbral debe rechazarse o renegociarse.</w:t>
      </w:r>
    </w:p>
    <w:p>
      <w:pPr>
        <w:spacing w:before="120" w:after="160" w:line="280" w:lineRule="auto"/>
        <w:jc w:val="center"/>
      </w:pPr>
      <w:r>
        <w:rPr>
          <w:rFonts w:ascii="Consolas" w:eastAsia="Consolas" w:hAnsi="Consolas" w:cs="Consolas"/>
          <w:sz w:val="21"/>
          <w:szCs w:val="21"/>
        </w:rPr>
        <w:t xml:space="preserve">CI máximo = VD con info − VD sin info</w:t>
      </w:r>
    </w:p>
    <w:p>
      <w:pPr>
        <w:pStyle w:val="Ttulo2"/>
        <w:keepNext/>
        <w:spacing w:before="360" w:after="160"/>
      </w:pPr>
      <w:r>
        <w:t xml:space="preserve">1.8. Caso práctico integral: Andina Foods S.A.C.</w:t>
      </w:r>
    </w:p>
    <w:p>
      <w:pPr>
        <w:spacing w:after="140"/>
        <w:jc w:val="both"/>
      </w:pPr>
      <w:r>
        <w:t xml:space="preserve">La empresa peruana Andina Foods S.A.C. produce y comercializa lácteos en Lima Metropolitana y evalúa el lanzamiento nacional de una nueva línea de yogur griego bebible. El proyecto exige una inversión total de S/ 900,000 entre el primer lote de producción, la distribución en cadenas de autoservicio y la campaña de comunicación. Si el mercado acepta el producto, la gerencia estima una utilidad neta acumulada de S/ 2,400,000 en el primer año; si el mercado lo rechaza, la empresa perderá la totalidad de la inversión comprometida.</w:t>
      </w:r>
    </w:p>
    <w:p>
      <w:pPr>
        <w:spacing w:after="140"/>
        <w:jc w:val="both"/>
      </w:pPr>
      <w:r>
        <w:t xml:space="preserve">Sobre la base de su experiencia en la categoría, y sin evidencia empírica adicional, el comité comercial estima en 35 % la probabilidad de que el producto sea aceptado. Una empresa consultora ha propuesto una prueba de concepto y de producto sobre una muestra de 384 consumidores del público objetivo, con un costo total de S/ 68,000. Para efectos didácticos se asume que el estudio anticipa correctamente la respuesta del mercado, es decir, se trabaja bajo el supuesto de información perfecta.</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420"/>
        <w:gridCol w:w="1160"/>
        <w:gridCol w:w="3420"/>
      </w:tblGrid>
      <w:tr>
        <w:trPr>
          <w:tblHeader/>
        </w:trPr>
        <w:tc>
          <w:tcPr>
            <w:tcW w:w="4420" w:type="dxa"/>
            <w:shd w:val="clear" w:color="auto" w:fill="E8E8E8"/>
            <w:tcMar>
              <w:top w:w="90" w:type="dxa"/>
              <w:left w:w="110" w:type="dxa"/>
              <w:bottom w:w="90" w:type="dxa"/>
              <w:right w:w="110" w:type="dxa"/>
            </w:tcMar>
          </w:tcPr>
          <w:p>
            <w:pPr>
              <w:spacing w:line="260" w:lineRule="auto"/>
            </w:pPr>
            <w:r>
              <w:rPr>
                <w:b/>
                <w:bCs/>
                <w:sz w:val="20"/>
                <w:szCs w:val="20"/>
              </w:rPr>
              <w:t xml:space="preserve">Variable</w:t>
            </w:r>
          </w:p>
        </w:tc>
        <w:tc>
          <w:tcPr>
            <w:tcW w:w="1160" w:type="dxa"/>
            <w:shd w:val="clear" w:color="auto" w:fill="E8E8E8"/>
            <w:tcMar>
              <w:top w:w="90" w:type="dxa"/>
              <w:left w:w="110" w:type="dxa"/>
              <w:bottom w:w="90" w:type="dxa"/>
              <w:right w:w="110" w:type="dxa"/>
            </w:tcMar>
          </w:tcPr>
          <w:p>
            <w:pPr>
              <w:spacing w:line="260" w:lineRule="auto"/>
            </w:pPr>
            <w:r>
              <w:rPr>
                <w:b/>
                <w:bCs/>
                <w:sz w:val="20"/>
                <w:szCs w:val="20"/>
              </w:rPr>
              <w:t xml:space="preserve">Símbolo</w:t>
            </w:r>
          </w:p>
        </w:tc>
        <w:tc>
          <w:tcPr>
            <w:tcW w:w="3420" w:type="dxa"/>
            <w:shd w:val="clear" w:color="auto" w:fill="E8E8E8"/>
            <w:tcMar>
              <w:top w:w="90" w:type="dxa"/>
              <w:left w:w="110" w:type="dxa"/>
              <w:bottom w:w="90" w:type="dxa"/>
              <w:right w:w="110" w:type="dxa"/>
            </w:tcMar>
          </w:tcPr>
          <w:p>
            <w:pPr>
              <w:spacing w:line="260" w:lineRule="auto"/>
            </w:pPr>
            <w:r>
              <w:rPr>
                <w:b/>
                <w:bCs/>
                <w:sz w:val="20"/>
                <w:szCs w:val="20"/>
              </w:rPr>
              <w:t xml:space="preserve">Valor</w:t>
            </w:r>
          </w:p>
        </w:tc>
      </w:tr>
      <w:tr>
        <w:tc>
          <w:tcPr>
            <w:tcW w:w="4420" w:type="dxa"/>
            <w:tcMar>
              <w:top w:w="90" w:type="dxa"/>
              <w:left w:w="110" w:type="dxa"/>
              <w:bottom w:w="90" w:type="dxa"/>
              <w:right w:w="110" w:type="dxa"/>
            </w:tcMar>
          </w:tcPr>
          <w:p>
            <w:pPr>
              <w:spacing w:line="260" w:lineRule="auto"/>
            </w:pPr>
            <w:r>
              <w:rPr>
                <w:sz w:val="20"/>
                <w:szCs w:val="20"/>
              </w:rPr>
              <w:t xml:space="preserve">Inversión total del lanzamiento</w:t>
            </w:r>
          </w:p>
        </w:tc>
        <w:tc>
          <w:tcPr>
            <w:tcW w:w="1160" w:type="dxa"/>
            <w:tcMar>
              <w:top w:w="90" w:type="dxa"/>
              <w:left w:w="110" w:type="dxa"/>
              <w:bottom w:w="90" w:type="dxa"/>
              <w:right w:w="110" w:type="dxa"/>
            </w:tcMar>
          </w:tcPr>
          <w:p>
            <w:pPr>
              <w:spacing w:line="260" w:lineRule="auto"/>
            </w:pPr>
            <w:r>
              <w:rPr>
                <w:sz w:val="20"/>
                <w:szCs w:val="20"/>
              </w:rPr>
              <w:t xml:space="preserve">I</w:t>
            </w:r>
          </w:p>
        </w:tc>
        <w:tc>
          <w:tcPr>
            <w:tcW w:w="3420" w:type="dxa"/>
            <w:tcMar>
              <w:top w:w="90" w:type="dxa"/>
              <w:left w:w="110" w:type="dxa"/>
              <w:bottom w:w="90" w:type="dxa"/>
              <w:right w:w="110" w:type="dxa"/>
            </w:tcMar>
          </w:tcPr>
          <w:p>
            <w:pPr>
              <w:spacing w:line="260" w:lineRule="auto"/>
            </w:pPr>
            <w:r>
              <w:rPr>
                <w:sz w:val="20"/>
                <w:szCs w:val="20"/>
              </w:rPr>
              <w:t xml:space="preserve">S/ 900,000</w:t>
            </w:r>
          </w:p>
        </w:tc>
      </w:tr>
      <w:tr>
        <w:tc>
          <w:tcPr>
            <w:tcW w:w="4420" w:type="dxa"/>
            <w:tcMar>
              <w:top w:w="90" w:type="dxa"/>
              <w:left w:w="110" w:type="dxa"/>
              <w:bottom w:w="90" w:type="dxa"/>
              <w:right w:w="110" w:type="dxa"/>
            </w:tcMar>
          </w:tcPr>
          <w:p>
            <w:pPr>
              <w:spacing w:line="260" w:lineRule="auto"/>
            </w:pPr>
            <w:r>
              <w:rPr>
                <w:sz w:val="20"/>
                <w:szCs w:val="20"/>
              </w:rPr>
              <w:t xml:space="preserve">Utilidad neta si el mercado acepta el producto</w:t>
            </w:r>
          </w:p>
        </w:tc>
        <w:tc>
          <w:tcPr>
            <w:tcW w:w="1160" w:type="dxa"/>
            <w:tcMar>
              <w:top w:w="90" w:type="dxa"/>
              <w:left w:w="110" w:type="dxa"/>
              <w:bottom w:w="90" w:type="dxa"/>
              <w:right w:w="110" w:type="dxa"/>
            </w:tcMar>
          </w:tcPr>
          <w:p>
            <w:pPr>
              <w:spacing w:line="260" w:lineRule="auto"/>
            </w:pPr>
            <w:r>
              <w:rPr>
                <w:sz w:val="20"/>
                <w:szCs w:val="20"/>
              </w:rPr>
              <w:t xml:space="preserve">U</w:t>
            </w:r>
          </w:p>
        </w:tc>
        <w:tc>
          <w:tcPr>
            <w:tcW w:w="3420" w:type="dxa"/>
            <w:tcMar>
              <w:top w:w="90" w:type="dxa"/>
              <w:left w:w="110" w:type="dxa"/>
              <w:bottom w:w="90" w:type="dxa"/>
              <w:right w:w="110" w:type="dxa"/>
            </w:tcMar>
          </w:tcPr>
          <w:p>
            <w:pPr>
              <w:spacing w:line="260" w:lineRule="auto"/>
            </w:pPr>
            <w:r>
              <w:rPr>
                <w:sz w:val="20"/>
                <w:szCs w:val="20"/>
              </w:rPr>
              <w:t xml:space="preserve">S/ 2,400,000</w:t>
            </w:r>
          </w:p>
        </w:tc>
      </w:tr>
      <w:tr>
        <w:tc>
          <w:tcPr>
            <w:tcW w:w="4420" w:type="dxa"/>
            <w:tcMar>
              <w:top w:w="90" w:type="dxa"/>
              <w:left w:w="110" w:type="dxa"/>
              <w:bottom w:w="90" w:type="dxa"/>
              <w:right w:w="110" w:type="dxa"/>
            </w:tcMar>
          </w:tcPr>
          <w:p>
            <w:pPr>
              <w:spacing w:line="260" w:lineRule="auto"/>
            </w:pPr>
            <w:r>
              <w:rPr>
                <w:sz w:val="20"/>
                <w:szCs w:val="20"/>
              </w:rPr>
              <w:t xml:space="preserve">Resultado si el mercado rechaza el producto</w:t>
            </w:r>
          </w:p>
        </w:tc>
        <w:tc>
          <w:tcPr>
            <w:tcW w:w="1160" w:type="dxa"/>
            <w:tcMar>
              <w:top w:w="90" w:type="dxa"/>
              <w:left w:w="110" w:type="dxa"/>
              <w:bottom w:w="90" w:type="dxa"/>
              <w:right w:w="110" w:type="dxa"/>
            </w:tcMar>
          </w:tcPr>
          <w:p>
            <w:pPr>
              <w:spacing w:line="260" w:lineRule="auto"/>
            </w:pPr>
            <w:r>
              <w:rPr>
                <w:sz w:val="20"/>
                <w:szCs w:val="20"/>
              </w:rPr>
              <w:t xml:space="preserve">R</w:t>
            </w:r>
          </w:p>
        </w:tc>
        <w:tc>
          <w:tcPr>
            <w:tcW w:w="3420" w:type="dxa"/>
            <w:tcMar>
              <w:top w:w="90" w:type="dxa"/>
              <w:left w:w="110" w:type="dxa"/>
              <w:bottom w:w="90" w:type="dxa"/>
              <w:right w:w="110" w:type="dxa"/>
            </w:tcMar>
          </w:tcPr>
          <w:p>
            <w:pPr>
              <w:spacing w:line="260" w:lineRule="auto"/>
            </w:pPr>
            <w:r>
              <w:rPr>
                <w:sz w:val="20"/>
                <w:szCs w:val="20"/>
              </w:rPr>
              <w:t xml:space="preserve">S/ (900,000)</w:t>
            </w:r>
          </w:p>
        </w:tc>
      </w:tr>
      <w:tr>
        <w:tc>
          <w:tcPr>
            <w:tcW w:w="4420" w:type="dxa"/>
            <w:tcMar>
              <w:top w:w="90" w:type="dxa"/>
              <w:left w:w="110" w:type="dxa"/>
              <w:bottom w:w="90" w:type="dxa"/>
              <w:right w:w="110" w:type="dxa"/>
            </w:tcMar>
          </w:tcPr>
          <w:p>
            <w:pPr>
              <w:spacing w:line="260" w:lineRule="auto"/>
            </w:pPr>
            <w:r>
              <w:rPr>
                <w:sz w:val="20"/>
                <w:szCs w:val="20"/>
              </w:rPr>
              <w:t xml:space="preserve">Probabilidad de aceptación estimada por la gerencia</w:t>
            </w:r>
          </w:p>
        </w:tc>
        <w:tc>
          <w:tcPr>
            <w:tcW w:w="1160" w:type="dxa"/>
            <w:tcMar>
              <w:top w:w="90" w:type="dxa"/>
              <w:left w:w="110" w:type="dxa"/>
              <w:bottom w:w="90" w:type="dxa"/>
              <w:right w:w="110" w:type="dxa"/>
            </w:tcMar>
          </w:tcPr>
          <w:p>
            <w:pPr>
              <w:spacing w:line="260" w:lineRule="auto"/>
            </w:pPr>
            <w:r>
              <w:rPr>
                <w:sz w:val="20"/>
                <w:szCs w:val="20"/>
              </w:rPr>
              <w:t xml:space="preserve">p</w:t>
            </w:r>
          </w:p>
        </w:tc>
        <w:tc>
          <w:tcPr>
            <w:tcW w:w="3420" w:type="dxa"/>
            <w:tcMar>
              <w:top w:w="90" w:type="dxa"/>
              <w:left w:w="110" w:type="dxa"/>
              <w:bottom w:w="90" w:type="dxa"/>
              <w:right w:w="110" w:type="dxa"/>
            </w:tcMar>
          </w:tcPr>
          <w:p>
            <w:pPr>
              <w:spacing w:line="260" w:lineRule="auto"/>
            </w:pPr>
            <w:r>
              <w:rPr>
                <w:sz w:val="20"/>
                <w:szCs w:val="20"/>
              </w:rPr>
              <w:t xml:space="preserve">35 %</w:t>
            </w:r>
          </w:p>
        </w:tc>
      </w:tr>
      <w:tr>
        <w:tc>
          <w:tcPr>
            <w:tcW w:w="4420" w:type="dxa"/>
            <w:tcMar>
              <w:top w:w="90" w:type="dxa"/>
              <w:left w:w="110" w:type="dxa"/>
              <w:bottom w:w="90" w:type="dxa"/>
              <w:right w:w="110" w:type="dxa"/>
            </w:tcMar>
          </w:tcPr>
          <w:p>
            <w:pPr>
              <w:spacing w:line="260" w:lineRule="auto"/>
            </w:pPr>
            <w:r>
              <w:rPr>
                <w:sz w:val="20"/>
                <w:szCs w:val="20"/>
              </w:rPr>
              <w:t xml:space="preserve">Probabilidad de rechazo</w:t>
            </w:r>
          </w:p>
        </w:tc>
        <w:tc>
          <w:tcPr>
            <w:tcW w:w="1160" w:type="dxa"/>
            <w:tcMar>
              <w:top w:w="90" w:type="dxa"/>
              <w:left w:w="110" w:type="dxa"/>
              <w:bottom w:w="90" w:type="dxa"/>
              <w:right w:w="110" w:type="dxa"/>
            </w:tcMar>
          </w:tcPr>
          <w:p>
            <w:pPr>
              <w:spacing w:line="260" w:lineRule="auto"/>
            </w:pPr>
            <w:r>
              <w:rPr>
                <w:sz w:val="20"/>
                <w:szCs w:val="20"/>
              </w:rPr>
              <w:t xml:space="preserve">1 − p</w:t>
            </w:r>
          </w:p>
        </w:tc>
        <w:tc>
          <w:tcPr>
            <w:tcW w:w="3420" w:type="dxa"/>
            <w:tcMar>
              <w:top w:w="90" w:type="dxa"/>
              <w:left w:w="110" w:type="dxa"/>
              <w:bottom w:w="90" w:type="dxa"/>
              <w:right w:w="110" w:type="dxa"/>
            </w:tcMar>
          </w:tcPr>
          <w:p>
            <w:pPr>
              <w:spacing w:line="260" w:lineRule="auto"/>
            </w:pPr>
            <w:r>
              <w:rPr>
                <w:sz w:val="20"/>
                <w:szCs w:val="20"/>
              </w:rPr>
              <w:t xml:space="preserve">65 %</w:t>
            </w:r>
          </w:p>
        </w:tc>
      </w:tr>
      <w:tr>
        <w:tc>
          <w:tcPr>
            <w:tcW w:w="4420" w:type="dxa"/>
            <w:tcMar>
              <w:top w:w="90" w:type="dxa"/>
              <w:left w:w="110" w:type="dxa"/>
              <w:bottom w:w="90" w:type="dxa"/>
              <w:right w:w="110" w:type="dxa"/>
            </w:tcMar>
          </w:tcPr>
          <w:p>
            <w:pPr>
              <w:spacing w:line="260" w:lineRule="auto"/>
            </w:pPr>
            <w:r>
              <w:rPr>
                <w:sz w:val="20"/>
                <w:szCs w:val="20"/>
              </w:rPr>
              <w:t xml:space="preserve">Costo total del estudio cuantitativo propuesto</w:t>
            </w:r>
          </w:p>
        </w:tc>
        <w:tc>
          <w:tcPr>
            <w:tcW w:w="1160" w:type="dxa"/>
            <w:tcMar>
              <w:top w:w="90" w:type="dxa"/>
              <w:left w:w="110" w:type="dxa"/>
              <w:bottom w:w="90" w:type="dxa"/>
              <w:right w:w="110" w:type="dxa"/>
            </w:tcMar>
          </w:tcPr>
          <w:p>
            <w:pPr>
              <w:spacing w:line="260" w:lineRule="auto"/>
            </w:pPr>
            <w:r>
              <w:rPr>
                <w:sz w:val="20"/>
                <w:szCs w:val="20"/>
              </w:rPr>
              <w:t xml:space="preserve">CI</w:t>
            </w:r>
          </w:p>
        </w:tc>
        <w:tc>
          <w:tcPr>
            <w:tcW w:w="3420" w:type="dxa"/>
            <w:tcMar>
              <w:top w:w="90" w:type="dxa"/>
              <w:left w:w="110" w:type="dxa"/>
              <w:bottom w:w="90" w:type="dxa"/>
              <w:right w:w="110" w:type="dxa"/>
            </w:tcMar>
          </w:tcPr>
          <w:p>
            <w:pPr>
              <w:spacing w:line="260" w:lineRule="auto"/>
            </w:pPr>
            <w:r>
              <w:rPr>
                <w:sz w:val="20"/>
                <w:szCs w:val="20"/>
              </w:rPr>
              <w:t xml:space="preserve">S/ 68,000</w:t>
            </w:r>
          </w:p>
        </w:tc>
      </w:tr>
      <w:tr>
        <w:tc>
          <w:tcPr>
            <w:tcW w:w="4420" w:type="dxa"/>
            <w:tcMar>
              <w:top w:w="90" w:type="dxa"/>
              <w:left w:w="110" w:type="dxa"/>
              <w:bottom w:w="90" w:type="dxa"/>
              <w:right w:w="110" w:type="dxa"/>
            </w:tcMar>
          </w:tcPr>
          <w:p>
            <w:pPr>
              <w:spacing w:line="260" w:lineRule="auto"/>
            </w:pPr>
            <w:r>
              <w:rPr>
                <w:sz w:val="20"/>
                <w:szCs w:val="20"/>
              </w:rPr>
              <w:t xml:space="preserve">Tamaño de muestra propuesto</w:t>
            </w:r>
          </w:p>
        </w:tc>
        <w:tc>
          <w:tcPr>
            <w:tcW w:w="1160" w:type="dxa"/>
            <w:tcMar>
              <w:top w:w="90" w:type="dxa"/>
              <w:left w:w="110" w:type="dxa"/>
              <w:bottom w:w="90" w:type="dxa"/>
              <w:right w:w="110" w:type="dxa"/>
            </w:tcMar>
          </w:tcPr>
          <w:p>
            <w:pPr>
              <w:spacing w:line="260" w:lineRule="auto"/>
            </w:pPr>
            <w:r>
              <w:rPr>
                <w:sz w:val="20"/>
                <w:szCs w:val="20"/>
              </w:rPr>
              <w:t xml:space="preserve">n</w:t>
            </w:r>
          </w:p>
        </w:tc>
        <w:tc>
          <w:tcPr>
            <w:tcW w:w="3420" w:type="dxa"/>
            <w:tcMar>
              <w:top w:w="90" w:type="dxa"/>
              <w:left w:w="110" w:type="dxa"/>
              <w:bottom w:w="90" w:type="dxa"/>
              <w:right w:w="110" w:type="dxa"/>
            </w:tcMar>
          </w:tcPr>
          <w:p>
            <w:pPr>
              <w:spacing w:line="260" w:lineRule="auto"/>
            </w:pPr>
            <w:r>
              <w:rPr>
                <w:sz w:val="20"/>
                <w:szCs w:val="20"/>
              </w:rPr>
              <w:t xml:space="preserve">384 consumidores</w:t>
            </w:r>
          </w:p>
        </w:tc>
      </w:tr>
    </w:tbl>
    <w:p>
      <w:pPr>
        <w:spacing w:before="100" w:after="220"/>
        <w:jc w:val="center"/>
      </w:pPr>
      <w:r>
        <w:rPr>
          <w:sz w:val="18"/>
          <w:szCs w:val="18"/>
        </w:rPr>
        <w:t xml:space="preserve">Cuadro 1.6. Datos de partida del caso Andina Foods S.A.C.</w:t>
      </w:r>
    </w:p>
    <w:p>
      <w:pPr>
        <w:pStyle w:val="Ttulo3"/>
        <w:keepNext/>
        <w:spacing w:before="280" w:after="140"/>
      </w:pPr>
      <w:r>
        <w:t xml:space="preserve">Paso A. Valor esperado de la decisión sin investigación</w:t>
      </w:r>
    </w:p>
    <w:p>
      <w:pPr>
        <w:spacing w:after="140"/>
        <w:jc w:val="both"/>
      </w:pPr>
      <w:r>
        <w:t xml:space="preserve">Sin estudio, la gerencia solo puede elegir entre lanzar o no lanzar. La alternativa de no lanzar tiene un valor esperado de cero, puesto que no compromete recursos ni genera utilidad. El valor esperado de lanzar se obtiene ponderando cada resultado por su probabilidad.</w:t>
      </w:r>
    </w:p>
    <w:p>
      <w:pPr>
        <w:spacing w:before="120" w:after="160" w:line="280" w:lineRule="auto"/>
        <w:jc w:val="center"/>
      </w:pPr>
      <w:r>
        <w:rPr>
          <w:rFonts w:ascii="Consolas" w:eastAsia="Consolas" w:hAnsi="Consolas" w:cs="Consolas"/>
          <w:sz w:val="21"/>
          <w:szCs w:val="21"/>
        </w:rPr>
        <w:t xml:space="preserve">VE (lanzar) = 0.35 × S/ 2,400,000 + 0.65 × (− S/ 900,000)</w:t>
      </w:r>
    </w:p>
    <w:p>
      <w:pPr>
        <w:spacing w:before="120" w:after="160" w:line="280" w:lineRule="auto"/>
        <w:jc w:val="center"/>
      </w:pPr>
      <w:r>
        <w:rPr>
          <w:rFonts w:ascii="Consolas" w:eastAsia="Consolas" w:hAnsi="Consolas" w:cs="Consolas"/>
          <w:sz w:val="21"/>
          <w:szCs w:val="21"/>
        </w:rPr>
        <w:t xml:space="preserve">VE (lanzar) = S/ 840,000 − S/ 585,000 = S/ 255,000</w:t>
      </w:r>
    </w:p>
    <w:p>
      <w:pPr>
        <w:spacing w:after="140"/>
        <w:jc w:val="both"/>
      </w:pPr>
      <w:r>
        <w:t xml:space="preserve">Como S/ 255,000 es mayor que cero, la mejor decisión sin información es lanzar el producto. Por lo tanto, el valor de la decisión sin investigación asciende a S/ 255,000. Conviene notar que este resultado positivo convive con un 65 % de probabilidad de perder S/ 900,000, riesgo que la cifra promedio oculta.</w:t>
      </w:r>
    </w:p>
    <w:p>
      <w:pPr>
        <w:pStyle w:val="Ttulo3"/>
        <w:keepNext/>
        <w:spacing w:before="280" w:after="140"/>
      </w:pPr>
      <w:r>
        <w:t xml:space="preserve">Paso B. Valor esperado de la decisión con investigación</w:t>
      </w:r>
    </w:p>
    <w:p>
      <w:pPr>
        <w:spacing w:after="140"/>
        <w:jc w:val="both"/>
      </w:pPr>
      <w:r>
        <w:t xml:space="preserve">Con el estudio, la empresa conocerá la respuesta del mercado antes de comprometer la inversión. Lanzará únicamente cuando el resultado sea favorable y se abstendrá cuando sea desfavorable, evitando así la pérdida. El valor esperado de la decisión informada se calcula ponderando ambos escenarios.</w:t>
      </w:r>
    </w:p>
    <w:p>
      <w:pPr>
        <w:spacing w:before="120" w:after="160" w:line="280" w:lineRule="auto"/>
        <w:jc w:val="center"/>
      </w:pPr>
      <w:r>
        <w:rPr>
          <w:rFonts w:ascii="Consolas" w:eastAsia="Consolas" w:hAnsi="Consolas" w:cs="Consolas"/>
          <w:sz w:val="21"/>
          <w:szCs w:val="21"/>
        </w:rPr>
        <w:t xml:space="preserve">VD con info = 0.35 × S/ 2,400,000 + 0.65 × S/ 0</w:t>
      </w:r>
    </w:p>
    <w:p>
      <w:pPr>
        <w:spacing w:before="120" w:after="160" w:line="280" w:lineRule="auto"/>
        <w:jc w:val="center"/>
      </w:pPr>
      <w:r>
        <w:rPr>
          <w:rFonts w:ascii="Consolas" w:eastAsia="Consolas" w:hAnsi="Consolas" w:cs="Consolas"/>
          <w:sz w:val="21"/>
          <w:szCs w:val="21"/>
        </w:rPr>
        <w:t xml:space="preserve">VD con info = S/ 840,000</w:t>
      </w:r>
    </w:p>
    <w:p>
      <w:pPr>
        <w:pStyle w:val="Ttulo3"/>
        <w:keepNext/>
        <w:spacing w:before="280" w:after="140"/>
      </w:pPr>
      <w:r>
        <w:t xml:space="preserve">Paso C. Valor neto de la investigación</w:t>
      </w:r>
    </w:p>
    <w:p>
      <w:pPr>
        <w:spacing w:after="140"/>
        <w:jc w:val="both"/>
      </w:pPr>
      <w:r>
        <w:t xml:space="preserve">Se aplica el modelo del valor esperado de la información descontando el costo del estudio.</w:t>
      </w:r>
    </w:p>
    <w:p>
      <w:pPr>
        <w:spacing w:before="120" w:after="160" w:line="280" w:lineRule="auto"/>
        <w:jc w:val="center"/>
      </w:pPr>
      <w:r>
        <w:rPr>
          <w:rFonts w:ascii="Consolas" w:eastAsia="Consolas" w:hAnsi="Consolas" w:cs="Consolas"/>
          <w:sz w:val="21"/>
          <w:szCs w:val="21"/>
        </w:rPr>
        <w:t xml:space="preserve">VI = (S/ 840,000 − S/ 68,000) − S/ 255,000</w:t>
      </w:r>
    </w:p>
    <w:p>
      <w:pPr>
        <w:spacing w:before="120" w:after="160" w:line="280" w:lineRule="auto"/>
        <w:jc w:val="center"/>
      </w:pPr>
      <w:r>
        <w:rPr>
          <w:rFonts w:ascii="Consolas" w:eastAsia="Consolas" w:hAnsi="Consolas" w:cs="Consolas"/>
          <w:sz w:val="21"/>
          <w:szCs w:val="21"/>
        </w:rPr>
        <w:t xml:space="preserve">VI = S/ 772,000 − S/ 255,000 = S/ 517,000</w:t>
      </w:r>
    </w:p>
    <w:p>
      <w:pPr>
        <w:spacing w:after="140"/>
        <w:jc w:val="both"/>
      </w:pPr>
      <w:r>
        <w:t xml:space="preserve">Análisis. El valor neto de la investigación es positivo y asciende a S/ 517,000, por lo que la contratación del estudio se aprueba. La investigación no incrementa la utilidad del escenario favorable, que sigue siendo de S/ 2,400,000; su aporte consiste en eliminar la pérdida de S/ 900,000 en el 65 % de los casos en que el mercado habría rechazado el producto.</w:t>
      </w:r>
    </w:p>
    <w:p>
      <w:pPr>
        <w:pStyle w:val="Ttulo3"/>
        <w:keepNext/>
        <w:spacing w:before="280" w:after="140"/>
      </w:pPr>
      <w:r>
        <w:t xml:space="preserve">Paso D. Precio máximo racional del estudio</w:t>
      </w:r>
    </w:p>
    <w:p>
      <w:pPr>
        <w:spacing w:after="140"/>
        <w:jc w:val="both"/>
      </w:pPr>
      <w:r>
        <w:t xml:space="preserve">El umbral a partir del cual la investigación deja de ser rentable se obtiene igualando el valor neto a cero.</w:t>
      </w:r>
    </w:p>
    <w:p>
      <w:pPr>
        <w:spacing w:before="120" w:after="160" w:line="280" w:lineRule="auto"/>
        <w:jc w:val="center"/>
      </w:pPr>
      <w:r>
        <w:rPr>
          <w:rFonts w:ascii="Consolas" w:eastAsia="Consolas" w:hAnsi="Consolas" w:cs="Consolas"/>
          <w:sz w:val="21"/>
          <w:szCs w:val="21"/>
        </w:rPr>
        <w:t xml:space="preserve">CI máximo = S/ 840,000 − S/ 255,000 = S/ 585,000</w:t>
      </w:r>
    </w:p>
    <w:p>
      <w:pPr>
        <w:spacing w:after="140"/>
        <w:jc w:val="both"/>
      </w:pPr>
      <w:r>
        <w:t xml:space="preserve">Análisis. Andina Foods S.A.C. podría pagar hasta S/ 585,000 por un estudio que anticipe con certeza la respuesta del mercado. Ese importe coincide exactamente con la pérdida esperada que la investigación permite evitar, es decir, 0.65 multiplicado por S/ 900,000. La propuesta de la consultora, de S/ 68,000, representa apenas el 11.6 % de ese techo y el 7.6 % de la inversión del lanzamiento, de modo que satisface con holgura el principio de value for money.</w:t>
      </w:r>
    </w:p>
    <w:tbl>
      <w:tblPr>
        <w:tblW w:w="900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70"/>
        <w:gridCol w:w="3710"/>
        <w:gridCol w:w="2020"/>
      </w:tblGrid>
      <w:tr>
        <w:trPr>
          <w:tblHeader/>
        </w:trPr>
        <w:tc>
          <w:tcPr>
            <w:tcW w:w="3270" w:type="dxa"/>
            <w:shd w:val="clear" w:color="auto" w:fill="E8E8E8"/>
            <w:tcMar>
              <w:top w:w="90" w:type="dxa"/>
              <w:left w:w="110" w:type="dxa"/>
              <w:bottom w:w="90" w:type="dxa"/>
              <w:right w:w="110" w:type="dxa"/>
            </w:tcMar>
          </w:tcPr>
          <w:p>
            <w:pPr>
              <w:spacing w:line="260" w:lineRule="auto"/>
            </w:pPr>
            <w:r>
              <w:rPr>
                <w:b/>
                <w:bCs/>
                <w:sz w:val="20"/>
                <w:szCs w:val="20"/>
              </w:rPr>
              <w:t xml:space="preserve">Concepto</w:t>
            </w:r>
          </w:p>
        </w:tc>
        <w:tc>
          <w:tcPr>
            <w:tcW w:w="3710" w:type="dxa"/>
            <w:shd w:val="clear" w:color="auto" w:fill="E8E8E8"/>
            <w:tcMar>
              <w:top w:w="90" w:type="dxa"/>
              <w:left w:w="110" w:type="dxa"/>
              <w:bottom w:w="90" w:type="dxa"/>
              <w:right w:w="110" w:type="dxa"/>
            </w:tcMar>
          </w:tcPr>
          <w:p>
            <w:pPr>
              <w:spacing w:line="260" w:lineRule="auto"/>
            </w:pPr>
            <w:r>
              <w:rPr>
                <w:b/>
                <w:bCs/>
                <w:sz w:val="20"/>
                <w:szCs w:val="20"/>
              </w:rPr>
              <w:t xml:space="preserve">Cálculo</w:t>
            </w:r>
          </w:p>
        </w:tc>
        <w:tc>
          <w:tcPr>
            <w:tcW w:w="2020" w:type="dxa"/>
            <w:shd w:val="clear" w:color="auto" w:fill="E8E8E8"/>
            <w:tcMar>
              <w:top w:w="90" w:type="dxa"/>
              <w:left w:w="110" w:type="dxa"/>
              <w:bottom w:w="90" w:type="dxa"/>
              <w:right w:w="110" w:type="dxa"/>
            </w:tcMar>
          </w:tcPr>
          <w:p>
            <w:pPr>
              <w:spacing w:line="260" w:lineRule="auto"/>
            </w:pPr>
            <w:r>
              <w:rPr>
                <w:b/>
                <w:bCs/>
                <w:sz w:val="20"/>
                <w:szCs w:val="20"/>
              </w:rPr>
              <w:t xml:space="preserve">Importe</w:t>
            </w:r>
          </w:p>
        </w:tc>
      </w:tr>
      <w:tr>
        <w:tc>
          <w:tcPr>
            <w:tcW w:w="3270" w:type="dxa"/>
            <w:tcMar>
              <w:top w:w="90" w:type="dxa"/>
              <w:left w:w="110" w:type="dxa"/>
              <w:bottom w:w="90" w:type="dxa"/>
              <w:right w:w="110" w:type="dxa"/>
            </w:tcMar>
          </w:tcPr>
          <w:p>
            <w:pPr>
              <w:spacing w:line="260" w:lineRule="auto"/>
            </w:pPr>
            <w:r>
              <w:rPr>
                <w:sz w:val="20"/>
                <w:szCs w:val="20"/>
              </w:rPr>
              <w:t xml:space="preserve">Valor de la decisión sin investigación</w:t>
            </w:r>
          </w:p>
        </w:tc>
        <w:tc>
          <w:tcPr>
            <w:tcW w:w="3710" w:type="dxa"/>
            <w:tcMar>
              <w:top w:w="90" w:type="dxa"/>
              <w:left w:w="110" w:type="dxa"/>
              <w:bottom w:w="90" w:type="dxa"/>
              <w:right w:w="110" w:type="dxa"/>
            </w:tcMar>
          </w:tcPr>
          <w:p>
            <w:pPr>
              <w:spacing w:line="260" w:lineRule="auto"/>
            </w:pPr>
            <w:r>
              <w:rPr>
                <w:sz w:val="20"/>
                <w:szCs w:val="20"/>
              </w:rPr>
              <w:t xml:space="preserve">0.35 × 2,400,000 + 0.65 × (−900,000)</w:t>
            </w:r>
          </w:p>
        </w:tc>
        <w:tc>
          <w:tcPr>
            <w:tcW w:w="2020" w:type="dxa"/>
            <w:tcMar>
              <w:top w:w="90" w:type="dxa"/>
              <w:left w:w="110" w:type="dxa"/>
              <w:bottom w:w="90" w:type="dxa"/>
              <w:right w:w="110" w:type="dxa"/>
            </w:tcMar>
          </w:tcPr>
          <w:p>
            <w:pPr>
              <w:spacing w:line="260" w:lineRule="auto"/>
            </w:pPr>
            <w:r>
              <w:rPr>
                <w:sz w:val="20"/>
                <w:szCs w:val="20"/>
              </w:rPr>
              <w:t xml:space="preserve">S/ 255,000</w:t>
            </w:r>
          </w:p>
        </w:tc>
      </w:tr>
      <w:tr>
        <w:tc>
          <w:tcPr>
            <w:tcW w:w="3270" w:type="dxa"/>
            <w:tcMar>
              <w:top w:w="90" w:type="dxa"/>
              <w:left w:w="110" w:type="dxa"/>
              <w:bottom w:w="90" w:type="dxa"/>
              <w:right w:w="110" w:type="dxa"/>
            </w:tcMar>
          </w:tcPr>
          <w:p>
            <w:pPr>
              <w:spacing w:line="260" w:lineRule="auto"/>
            </w:pPr>
            <w:r>
              <w:rPr>
                <w:sz w:val="20"/>
                <w:szCs w:val="20"/>
              </w:rPr>
              <w:t xml:space="preserve">Valor de la decisión con investigación</w:t>
            </w:r>
          </w:p>
        </w:tc>
        <w:tc>
          <w:tcPr>
            <w:tcW w:w="3710" w:type="dxa"/>
            <w:tcMar>
              <w:top w:w="90" w:type="dxa"/>
              <w:left w:w="110" w:type="dxa"/>
              <w:bottom w:w="90" w:type="dxa"/>
              <w:right w:w="110" w:type="dxa"/>
            </w:tcMar>
          </w:tcPr>
          <w:p>
            <w:pPr>
              <w:spacing w:line="260" w:lineRule="auto"/>
            </w:pPr>
            <w:r>
              <w:rPr>
                <w:sz w:val="20"/>
                <w:szCs w:val="20"/>
              </w:rPr>
              <w:t xml:space="preserve">0.35 × 2,400,000 + 0.65 × 0</w:t>
            </w:r>
          </w:p>
        </w:tc>
        <w:tc>
          <w:tcPr>
            <w:tcW w:w="2020" w:type="dxa"/>
            <w:tcMar>
              <w:top w:w="90" w:type="dxa"/>
              <w:left w:w="110" w:type="dxa"/>
              <w:bottom w:w="90" w:type="dxa"/>
              <w:right w:w="110" w:type="dxa"/>
            </w:tcMar>
          </w:tcPr>
          <w:p>
            <w:pPr>
              <w:spacing w:line="260" w:lineRule="auto"/>
            </w:pPr>
            <w:r>
              <w:rPr>
                <w:sz w:val="20"/>
                <w:szCs w:val="20"/>
              </w:rPr>
              <w:t xml:space="preserve">S/ 840,000</w:t>
            </w:r>
          </w:p>
        </w:tc>
      </w:tr>
      <w:tr>
        <w:tc>
          <w:tcPr>
            <w:tcW w:w="3270" w:type="dxa"/>
            <w:tcMar>
              <w:top w:w="90" w:type="dxa"/>
              <w:left w:w="110" w:type="dxa"/>
              <w:bottom w:w="90" w:type="dxa"/>
              <w:right w:w="110" w:type="dxa"/>
            </w:tcMar>
          </w:tcPr>
          <w:p>
            <w:pPr>
              <w:spacing w:line="260" w:lineRule="auto"/>
            </w:pPr>
            <w:r>
              <w:rPr>
                <w:sz w:val="20"/>
                <w:szCs w:val="20"/>
              </w:rPr>
              <w:t xml:space="preserve">Costo del estudio propuesto</w:t>
            </w:r>
          </w:p>
        </w:tc>
        <w:tc>
          <w:tcPr>
            <w:tcW w:w="3710" w:type="dxa"/>
            <w:tcMar>
              <w:top w:w="90" w:type="dxa"/>
              <w:left w:w="110" w:type="dxa"/>
              <w:bottom w:w="90" w:type="dxa"/>
              <w:right w:w="110" w:type="dxa"/>
            </w:tcMar>
          </w:tcPr>
          <w:p>
            <w:pPr>
              <w:spacing w:line="260" w:lineRule="auto"/>
            </w:pPr>
            <w:r>
              <w:rPr>
                <w:sz w:val="20"/>
                <w:szCs w:val="20"/>
              </w:rPr>
              <w:t xml:space="preserve">Presupuesto de la consultora</w:t>
            </w:r>
          </w:p>
        </w:tc>
        <w:tc>
          <w:tcPr>
            <w:tcW w:w="2020" w:type="dxa"/>
            <w:tcMar>
              <w:top w:w="90" w:type="dxa"/>
              <w:left w:w="110" w:type="dxa"/>
              <w:bottom w:w="90" w:type="dxa"/>
              <w:right w:w="110" w:type="dxa"/>
            </w:tcMar>
          </w:tcPr>
          <w:p>
            <w:pPr>
              <w:spacing w:line="260" w:lineRule="auto"/>
            </w:pPr>
            <w:r>
              <w:rPr>
                <w:sz w:val="20"/>
                <w:szCs w:val="20"/>
              </w:rPr>
              <w:t xml:space="preserve">S/ (68,000)</w:t>
            </w:r>
          </w:p>
        </w:tc>
      </w:tr>
      <w:tr>
        <w:tc>
          <w:tcPr>
            <w:tcW w:w="3270" w:type="dxa"/>
            <w:tcMar>
              <w:top w:w="90" w:type="dxa"/>
              <w:left w:w="110" w:type="dxa"/>
              <w:bottom w:w="90" w:type="dxa"/>
              <w:right w:w="110" w:type="dxa"/>
            </w:tcMar>
          </w:tcPr>
          <w:p>
            <w:pPr>
              <w:spacing w:line="260" w:lineRule="auto"/>
            </w:pPr>
            <w:r>
              <w:rPr>
                <w:sz w:val="20"/>
                <w:szCs w:val="20"/>
              </w:rPr>
              <w:t xml:space="preserve">Valor neto de la investigación</w:t>
            </w:r>
          </w:p>
        </w:tc>
        <w:tc>
          <w:tcPr>
            <w:tcW w:w="3710" w:type="dxa"/>
            <w:tcMar>
              <w:top w:w="90" w:type="dxa"/>
              <w:left w:w="110" w:type="dxa"/>
              <w:bottom w:w="90" w:type="dxa"/>
              <w:right w:w="110" w:type="dxa"/>
            </w:tcMar>
          </w:tcPr>
          <w:p>
            <w:pPr>
              <w:spacing w:line="260" w:lineRule="auto"/>
            </w:pPr>
            <w:r>
              <w:rPr>
                <w:sz w:val="20"/>
                <w:szCs w:val="20"/>
              </w:rPr>
              <w:t xml:space="preserve">(840,000 − 68,000) − 255,000</w:t>
            </w:r>
          </w:p>
        </w:tc>
        <w:tc>
          <w:tcPr>
            <w:tcW w:w="2020" w:type="dxa"/>
            <w:tcMar>
              <w:top w:w="90" w:type="dxa"/>
              <w:left w:w="110" w:type="dxa"/>
              <w:bottom w:w="90" w:type="dxa"/>
              <w:right w:w="110" w:type="dxa"/>
            </w:tcMar>
          </w:tcPr>
          <w:p>
            <w:pPr>
              <w:spacing w:line="260" w:lineRule="auto"/>
            </w:pPr>
            <w:r>
              <w:rPr>
                <w:sz w:val="20"/>
                <w:szCs w:val="20"/>
              </w:rPr>
              <w:t xml:space="preserve">S/ 517,000</w:t>
            </w:r>
          </w:p>
        </w:tc>
      </w:tr>
      <w:tr>
        <w:tc>
          <w:tcPr>
            <w:tcW w:w="3270" w:type="dxa"/>
            <w:tcMar>
              <w:top w:w="90" w:type="dxa"/>
              <w:left w:w="110" w:type="dxa"/>
              <w:bottom w:w="90" w:type="dxa"/>
              <w:right w:w="110" w:type="dxa"/>
            </w:tcMar>
          </w:tcPr>
          <w:p>
            <w:pPr>
              <w:spacing w:line="260" w:lineRule="auto"/>
            </w:pPr>
            <w:r>
              <w:rPr>
                <w:sz w:val="20"/>
                <w:szCs w:val="20"/>
              </w:rPr>
              <w:t xml:space="preserve">Precio máximo racional del estudio</w:t>
            </w:r>
          </w:p>
        </w:tc>
        <w:tc>
          <w:tcPr>
            <w:tcW w:w="3710" w:type="dxa"/>
            <w:tcMar>
              <w:top w:w="90" w:type="dxa"/>
              <w:left w:w="110" w:type="dxa"/>
              <w:bottom w:w="90" w:type="dxa"/>
              <w:right w:w="110" w:type="dxa"/>
            </w:tcMar>
          </w:tcPr>
          <w:p>
            <w:pPr>
              <w:spacing w:line="260" w:lineRule="auto"/>
            </w:pPr>
            <w:r>
              <w:rPr>
                <w:sz w:val="20"/>
                <w:szCs w:val="20"/>
              </w:rPr>
              <w:t xml:space="preserve">840,000 − 255,000</w:t>
            </w:r>
          </w:p>
        </w:tc>
        <w:tc>
          <w:tcPr>
            <w:tcW w:w="2020" w:type="dxa"/>
            <w:tcMar>
              <w:top w:w="90" w:type="dxa"/>
              <w:left w:w="110" w:type="dxa"/>
              <w:bottom w:w="90" w:type="dxa"/>
              <w:right w:w="110" w:type="dxa"/>
            </w:tcMar>
          </w:tcPr>
          <w:p>
            <w:pPr>
              <w:spacing w:line="260" w:lineRule="auto"/>
            </w:pPr>
            <w:r>
              <w:rPr>
                <w:sz w:val="20"/>
                <w:szCs w:val="20"/>
              </w:rPr>
              <w:t xml:space="preserve">S/ 585,000</w:t>
            </w:r>
          </w:p>
        </w:tc>
      </w:tr>
    </w:tbl>
    <w:p>
      <w:pPr>
        <w:spacing w:before="100" w:after="220"/>
        <w:jc w:val="center"/>
      </w:pPr>
      <w:r>
        <w:rPr>
          <w:sz w:val="18"/>
          <w:szCs w:val="18"/>
        </w:rPr>
        <w:t xml:space="preserve">Cuadro 1.7. Resumen del análisis costo-beneficio de la información.</w:t>
      </w:r>
    </w:p>
    <w:p>
      <w:pPr>
        <w:spacing w:after="140"/>
        <w:jc w:val="both"/>
      </w:pPr>
      <w:r>
        <w:t xml:space="preserve">Conclusión gerencial. El estudio debe realizarse. La decisión de lanzar sin evidencia empírica no es irracional en términos de valor esperado, pero expone a la empresa a una pérdida probable y evitable cuyo costo supera en más de ocho veces el precio de la información necesaria para prevenirla.</w:t>
      </w:r>
    </w:p>
    <w:p>
      <w:pPr>
        <w:pStyle w:val="Ttulo2"/>
        <w:keepNext/>
        <w:spacing w:before="360" w:after="160"/>
      </w:pPr>
      <w:r>
        <w:t xml:space="preserve">1.9. Casos de estudio para el debate</w:t>
      </w:r>
    </w:p>
    <w:p>
      <w:pPr>
        <w:spacing w:after="140"/>
        <w:jc w:val="both"/>
      </w:pPr>
      <w:r>
        <w:t xml:space="preserve">Los dos casos siguientes, ampliamente documentados en la literatura de marketing, ilustran de manera complementaria las consecuencias de prescindir de la investigación y los beneficios de sustentar la estrategia en evidencia cuantitativa.</w:t>
      </w:r>
    </w:p>
    <w:p>
      <w:pPr>
        <w:pStyle w:val="Ttulo3"/>
        <w:keepNext/>
        <w:spacing w:before="280" w:after="140"/>
      </w:pPr>
      <w:r>
        <w:t xml:space="preserve">Caso de estudio 1.1. El lanzamiento fallido de Encaprin</w:t>
      </w:r>
    </w:p>
    <w:p>
      <w:pPr>
        <w:spacing w:after="140"/>
        <w:jc w:val="both"/>
      </w:pPr>
      <w:r>
        <w:t xml:space="preserve">A principios de la década de 1980, Procter and Gamble decidió ingresar al mercado de los analgésicos de venta libre con Encaprin, una aspirina encapsulada y recubierta para proteger el estómago del consumidor. Dado que la compañía poseía una vasta trayectoria liderando categorías de cuidado del hogar y cuidado personal, sus directivos de marca asumieron que comprendían perfectamente el comportamiento del consumidor y la dinámica de la distribución farmacéutica.</w:t>
      </w:r>
    </w:p>
    <w:p>
      <w:pPr>
        <w:spacing w:after="140"/>
        <w:jc w:val="both"/>
      </w:pPr>
      <w:r>
        <w:t xml:space="preserve">Con exceso de confianza en la intuición corporativa, la empresa decidió eludir la investigación de mercados primaria cuantitativa, es decir, las pruebas de concepto de producto, los estudios de segmentación y los mercados de prueba tradicionales, y procedió directamente al lanzamiento masivo de alcance nacional.</w:t>
      </w:r>
    </w:p>
    <w:p>
      <w:pPr>
        <w:spacing w:after="140"/>
        <w:jc w:val="both"/>
      </w:pPr>
      <w:r>
        <w:t xml:space="preserve">El desenlace fue adverso. Los consumidores no percibieron que el recubrimiento de la cápsula representara una ventaja competitiva distintiva frente a analgésicos ya establecidos como Tylenol. La compañía se vio obligada a retirar el producto del mercado, con pérdidas de millones de dólares en desarrollo de producto y publicidad.</w:t>
      </w:r>
    </w:p>
    <w:p>
      <w:pPr>
        <w:pStyle w:val="Ttulo4"/>
        <w:keepNext/>
        <w:spacing w:before="240" w:after="120"/>
      </w:pPr>
      <w:r>
        <w:t xml:space="preserve">Preguntas para el análisis</w:t>
      </w:r>
    </w:p>
    <w:p>
      <w:pPr>
        <w:pStyle w:val="Prrafodelista"/>
        <w:numPr>
          <w:ilvl w:val="0"/>
          <w:numId w:val="3"/>
        </w:numPr>
        <w:spacing w:after="100"/>
        <w:jc w:val="both"/>
      </w:pPr>
      <w:r>
        <w:t xml:space="preserve">Identifique el error metodológico crítico cometido por los gerentes de la compañía a la luz del proceso de investigación cuantitativa desarrollado en este capítulo.</w:t>
      </w:r>
    </w:p>
    <w:p>
      <w:pPr>
        <w:pStyle w:val="Prrafodelista"/>
        <w:numPr>
          <w:ilvl w:val="0"/>
          <w:numId w:val="3"/>
        </w:numPr>
        <w:spacing w:after="100"/>
        <w:jc w:val="both"/>
      </w:pPr>
      <w:r>
        <w:t xml:space="preserve">Explique de qué manera un estudio cuantitativo descriptivo previo, correspondiente al tercer paso del proceso, habría modificado la decisión de lanzamiento nacional.</w:t>
      </w:r>
    </w:p>
    <w:p>
      <w:pPr>
        <w:pStyle w:val="Prrafodelista"/>
        <w:numPr>
          <w:ilvl w:val="0"/>
          <w:numId w:val="3"/>
        </w:numPr>
        <w:spacing w:after="100"/>
        <w:jc w:val="both"/>
      </w:pPr>
      <w:r>
        <w:t xml:space="preserve">Aplique el principio de value for money al caso y fundamente por qué el costo de una investigación a pequeña escala resultó, en retrospectiva, incomparablemente menor que el costo de no investigar.</w:t>
      </w:r>
    </w:p>
    <w:p>
      <w:pPr>
        <w:pStyle w:val="Ttulo3"/>
        <w:keepNext/>
        <w:spacing w:before="280" w:after="140"/>
      </w:pPr>
      <w:r>
        <w:t xml:space="preserve">Caso de estudio 1.2. El éxito de Campbell's Chunky Soup</w:t>
      </w:r>
    </w:p>
    <w:p>
      <w:pPr>
        <w:spacing w:after="140"/>
        <w:jc w:val="both"/>
      </w:pPr>
      <w:r>
        <w:t xml:space="preserve">A finales de la década de 1990, la compañía Campbell's Soup buscaba dinamizar la categoría de sopas listas para consumir. En lugar de especular con el desarrollo del producto, se apoyó en investigación de mercados cuantitativa sindicada de largo alcance. Analizó específicamente los datos históricos del Yankelovich Monitor, un estudio anual longitudinal y representativo que mide las tendencias sociales y los estilos de vida de los consumidores.</w:t>
      </w:r>
    </w:p>
    <w:p>
      <w:pPr>
        <w:spacing w:after="140"/>
        <w:jc w:val="both"/>
      </w:pPr>
      <w:r>
        <w:t xml:space="preserve">Los datos cuantitativos mostraron un aumento sostenido en el segmento de adultos que expresaban un fuerte deseo de consumir comidas rápidas de preparar, pero al mismo tiempo saludables y sustanciosas. A partir de ese hallazgo descriptivo, que corresponde a una investigación para la identificación de problemas y oportunidades, la compañía ejecutó una investigación aplicada orientada a la solución del problema y diseñó un nuevo concepto: una sopa espesa con trozos grandes de carne y vegetales, denominada Chunky Soup.</w:t>
      </w:r>
    </w:p>
    <w:p>
      <w:pPr>
        <w:spacing w:after="140"/>
        <w:jc w:val="both"/>
      </w:pPr>
      <w:r>
        <w:t xml:space="preserve">Para evaluar la efectividad de la campaña de comunicación se diseñaron pruebas publicitarias con deportistas de la liga profesional de fútbol americano, que demostraron cuantitativamente una alta conexión emocional con el segmento objetivo de hogares masculinos y aficionados al deporte. El producto se convirtió en un éxito comercial y lideró la categoría durante décadas.</w:t>
      </w:r>
    </w:p>
    <w:p>
      <w:pPr>
        <w:pStyle w:val="Ttulo4"/>
        <w:keepNext/>
        <w:spacing w:before="240" w:after="120"/>
      </w:pPr>
      <w:r>
        <w:t xml:space="preserve">Preguntas para el análisis</w:t>
      </w:r>
    </w:p>
    <w:p>
      <w:pPr>
        <w:pStyle w:val="Prrafodelista"/>
        <w:numPr>
          <w:ilvl w:val="0"/>
          <w:numId w:val="3"/>
        </w:numPr>
        <w:spacing w:after="100"/>
        <w:jc w:val="both"/>
      </w:pPr>
      <w:r>
        <w:t xml:space="preserve">Señale qué tipos de investigación de mercados, según la clasificación de Malhotra, se combinaron de forma secuencial en el éxito de la compañía.</w:t>
      </w:r>
    </w:p>
    <w:p>
      <w:pPr>
        <w:pStyle w:val="Prrafodelista"/>
        <w:numPr>
          <w:ilvl w:val="0"/>
          <w:numId w:val="3"/>
        </w:numPr>
        <w:spacing w:after="100"/>
        <w:jc w:val="both"/>
      </w:pPr>
      <w:r>
        <w:t xml:space="preserve">Explique cómo interactuaron en este caso los roles descriptivo, diagnóstico y predictivo de la investigación.</w:t>
      </w:r>
    </w:p>
    <w:p>
      <w:pPr>
        <w:pStyle w:val="Prrafodelista"/>
        <w:numPr>
          <w:ilvl w:val="0"/>
          <w:numId w:val="3"/>
        </w:numPr>
        <w:spacing w:after="100"/>
        <w:jc w:val="both"/>
      </w:pPr>
      <w:r>
        <w:t xml:space="preserve">Compare la lógica de decisión de este caso con la del caso de Encaprin e indique qué paso del proceso de investigación marcó la diferencia entre ambos resultados.</w:t>
      </w:r>
    </w:p>
    <w:p>
      <w:pPr>
        <w:pStyle w:val="Ttulo2"/>
        <w:keepNext/>
        <w:spacing w:before="360" w:after="160"/>
      </w:pPr>
      <w:r>
        <w:t xml:space="preserve">1.10. Casos propuestos para resolver</w:t>
      </w:r>
    </w:p>
    <w:p>
      <w:pPr>
        <w:spacing w:after="140"/>
        <w:jc w:val="both"/>
      </w:pPr>
      <w:r>
        <w:t xml:space="preserve">Los siguientes casos permiten aplicar los conceptos del capítulo. Para los casos numéricos se debe expresar todos los importes en soles y fundamentar la recomendación final en el criterio de decisión del modelo del valor de la información.</w:t>
      </w:r>
    </w:p>
    <w:p>
      <w:pPr>
        <w:pStyle w:val="Ttulo3"/>
        <w:keepNext/>
        <w:spacing w:before="280" w:after="140"/>
      </w:pPr>
      <w:r>
        <w:t xml:space="preserve">Caso propuesto 1.1. Clasificación según el propósito de la investigación</w:t>
      </w:r>
    </w:p>
    <w:p>
      <w:pPr>
        <w:spacing w:after="140"/>
        <w:jc w:val="both"/>
      </w:pPr>
      <w:r>
        <w:t xml:space="preserve">La empresa Café del Valle S.A.C., tostadora y comercializadora de café de origen, ha recibido de una consultora la propuesta de seis estudios: medición del potencial de mercado del café de especialidad en provincias, prueba de dos conceptos de empaque para su nueva línea premium, análisis de la evolución de su participación de mercado en los últimos tres años, medición de la elasticidad precio de su presentación de 250 gramos, evaluación de la imagen de marca frente a dos competidores y análisis de cobertura de los canales de bodega y autoservicio.</w:t>
      </w:r>
    </w:p>
    <w:p>
      <w:pPr>
        <w:pStyle w:val="Prrafodelista"/>
        <w:numPr>
          <w:ilvl w:val="0"/>
          <w:numId w:val="3"/>
        </w:numPr>
        <w:spacing w:after="100"/>
        <w:jc w:val="both"/>
      </w:pPr>
      <w:r>
        <w:t xml:space="preserve">Clasifique cada estudio como investigación para la identificación de problemas o para la solución de problemas.</w:t>
      </w:r>
    </w:p>
    <w:p>
      <w:pPr>
        <w:pStyle w:val="Prrafodelista"/>
        <w:numPr>
          <w:ilvl w:val="0"/>
          <w:numId w:val="3"/>
        </w:numPr>
        <w:spacing w:after="100"/>
        <w:jc w:val="both"/>
      </w:pPr>
      <w:r>
        <w:t xml:space="preserve">Indique, para cada estudio de solución de problemas, a qué área del marketing mix corresponde.</w:t>
      </w:r>
    </w:p>
    <w:p>
      <w:pPr>
        <w:pStyle w:val="Prrafodelista"/>
        <w:numPr>
          <w:ilvl w:val="0"/>
          <w:numId w:val="3"/>
        </w:numPr>
        <w:spacing w:after="100"/>
        <w:jc w:val="both"/>
      </w:pPr>
      <w:r>
        <w:t xml:space="preserve">Ordene los seis estudios en la secuencia lógica en que deberían ejecutarse y justifique el orden propuesto.</w:t>
      </w:r>
    </w:p>
    <w:p>
      <w:pPr>
        <w:pStyle w:val="Ttulo3"/>
        <w:keepNext/>
        <w:spacing w:before="280" w:after="140"/>
      </w:pPr>
      <w:r>
        <w:t xml:space="preserve">Caso propuesto 1.2. Roles funcionales de la investigación</w:t>
      </w:r>
    </w:p>
    <w:p>
      <w:pPr>
        <w:spacing w:after="140"/>
        <w:jc w:val="both"/>
      </w:pPr>
      <w:r>
        <w:t xml:space="preserve">La gerencia comercial de una cadena de farmacias formula cinco preguntas a su área de inteligencia de mercados: qué porcentaje de sus clientes tiene entre 25 y 39 años, por qué el ticket promedio del canal digital cayó durante el último trimestre, cuánto crecerían las ventas si se ampliara el horario de atención dominical, qué proporción de la categoría de dermocosméticos concentra cada marca y por qué los clientes del programa de fidelización compran con mayor frecuencia que el resto.</w:t>
      </w:r>
    </w:p>
    <w:p>
      <w:pPr>
        <w:pStyle w:val="Prrafodelista"/>
        <w:numPr>
          <w:ilvl w:val="0"/>
          <w:numId w:val="3"/>
        </w:numPr>
        <w:spacing w:after="100"/>
        <w:jc w:val="both"/>
      </w:pPr>
      <w:r>
        <w:t xml:space="preserve">Clasifique cada pregunta según corresponda al rol descriptivo, diagnóstico o predictivo de la investigación.</w:t>
      </w:r>
    </w:p>
    <w:p>
      <w:pPr>
        <w:pStyle w:val="Prrafodelista"/>
        <w:numPr>
          <w:ilvl w:val="0"/>
          <w:numId w:val="3"/>
        </w:numPr>
        <w:spacing w:after="100"/>
        <w:jc w:val="both"/>
      </w:pPr>
      <w:r>
        <w:t xml:space="preserve">Explique por qué el rol predictivo no puede ejercerse sin haber cubierto previamente los otros dos.</w:t>
      </w:r>
    </w:p>
    <w:p>
      <w:pPr>
        <w:pStyle w:val="Prrafodelista"/>
        <w:numPr>
          <w:ilvl w:val="0"/>
          <w:numId w:val="3"/>
        </w:numPr>
        <w:spacing w:after="100"/>
        <w:jc w:val="both"/>
      </w:pPr>
      <w:r>
        <w:t xml:space="preserve">Redacte, para una de las preguntas diagnósticas, el objetivo de investigación correspondiente al primer paso del proceso.</w:t>
      </w:r>
    </w:p>
    <w:p>
      <w:pPr>
        <w:pStyle w:val="Ttulo3"/>
        <w:keepNext/>
        <w:spacing w:before="280" w:after="140"/>
      </w:pPr>
      <w:r>
        <w:t xml:space="preserve">Caso propuesto 1.3. Aplicación del principio de value for money</w:t>
      </w:r>
    </w:p>
    <w:p>
      <w:pPr>
        <w:spacing w:after="140"/>
        <w:jc w:val="both"/>
      </w:pPr>
      <w:r>
        <w:t xml:space="preserve">La empresa Textiles del Sur S.A.C. evalúa lanzar una línea de prendas técnicas deportivas. La inversión requerida asciende a S/ 400,000. Si el mercado acepta la línea, la utilidad neta estimada del primer año es de S/ 1,100,000; si la rechaza, se perderá la inversión completa. La gerencia estima en 40 % la probabilidad de aceptación. Una consultora ofrece un estudio cuantitativo, con supuesto de información perfecta, por S/ 35,000.</w:t>
      </w:r>
    </w:p>
    <w:p>
      <w:pPr>
        <w:pStyle w:val="Prrafodelista"/>
        <w:numPr>
          <w:ilvl w:val="0"/>
          <w:numId w:val="3"/>
        </w:numPr>
        <w:spacing w:after="100"/>
        <w:jc w:val="both"/>
      </w:pPr>
      <w:r>
        <w:t xml:space="preserve">Calcule el valor esperado de la decisión sin investigación y determine cuál sería la mejor decisión en ese escenario.</w:t>
      </w:r>
    </w:p>
    <w:p>
      <w:pPr>
        <w:pStyle w:val="Prrafodelista"/>
        <w:numPr>
          <w:ilvl w:val="0"/>
          <w:numId w:val="3"/>
        </w:numPr>
        <w:spacing w:after="100"/>
        <w:jc w:val="both"/>
      </w:pPr>
      <w:r>
        <w:t xml:space="preserve">Calcule el valor esperado de la decisión con investigación y el valor neto de la investigación.</w:t>
      </w:r>
    </w:p>
    <w:p>
      <w:pPr>
        <w:pStyle w:val="Prrafodelista"/>
        <w:numPr>
          <w:ilvl w:val="0"/>
          <w:numId w:val="3"/>
        </w:numPr>
        <w:spacing w:after="100"/>
        <w:jc w:val="both"/>
      </w:pPr>
      <w:r>
        <w:t xml:space="preserve">Emita una recomendación fundamentada sobre la contratación del estudio.</w:t>
      </w:r>
    </w:p>
    <w:p>
      <w:pPr>
        <w:pStyle w:val="Ttulo3"/>
        <w:keepNext/>
        <w:spacing w:before="280" w:after="140"/>
      </w:pPr>
      <w:r>
        <w:t xml:space="preserve">Caso propuesto 1.4. Sensibilidad del valor de la información</w:t>
      </w:r>
    </w:p>
    <w:p>
      <w:pPr>
        <w:spacing w:after="140"/>
        <w:jc w:val="both"/>
      </w:pPr>
      <w:r>
        <w:t xml:space="preserve">Retome los datos del caso propuesto 1.3. Suponga ahora que, tras una prueba de mercado interna, la gerencia eleva su estimación de la probabilidad de aceptación de 40 % a 60 %, manteniendo constantes los demás valores.</w:t>
      </w:r>
    </w:p>
    <w:p>
      <w:pPr>
        <w:pStyle w:val="Prrafodelista"/>
        <w:numPr>
          <w:ilvl w:val="0"/>
          <w:numId w:val="3"/>
        </w:numPr>
        <w:spacing w:after="100"/>
        <w:jc w:val="both"/>
      </w:pPr>
      <w:r>
        <w:t xml:space="preserve">Recalcule el valor de la decisión sin investigación, el valor de la decisión con investigación y el valor neto del estudio.</w:t>
      </w:r>
    </w:p>
    <w:p>
      <w:pPr>
        <w:pStyle w:val="Prrafodelista"/>
        <w:numPr>
          <w:ilvl w:val="0"/>
          <w:numId w:val="3"/>
        </w:numPr>
        <w:spacing w:after="100"/>
        <w:jc w:val="both"/>
      </w:pPr>
      <w:r>
        <w:t xml:space="preserve">Determine el precio máximo racional que la empresa debería pagar por el estudio en cada uno de los dos escenarios de probabilidad.</w:t>
      </w:r>
    </w:p>
    <w:p>
      <w:pPr>
        <w:pStyle w:val="Prrafodelista"/>
        <w:numPr>
          <w:ilvl w:val="0"/>
          <w:numId w:val="3"/>
        </w:numPr>
        <w:spacing w:after="100"/>
        <w:jc w:val="both"/>
      </w:pPr>
      <w:r>
        <w:t xml:space="preserve">Explique por qué el valor de la información disminuye a medida que aumenta la certeza de la gerencia sobre el resultado.</w:t>
      </w:r>
    </w:p>
    <w:p>
      <w:pPr>
        <w:pStyle w:val="Ttulo3"/>
        <w:keepNext/>
        <w:spacing w:before="280" w:after="140"/>
      </w:pPr>
      <w:r>
        <w:t xml:space="preserve">Caso propuesto 1.5. Auditoría de la secuencia del proceso</w:t>
      </w:r>
    </w:p>
    <w:p>
      <w:pPr>
        <w:spacing w:after="140"/>
        <w:jc w:val="both"/>
      </w:pPr>
      <w:r>
        <w:t xml:space="preserve">Una agencia presenta a la empresa Nutri Andina S.A.C. la siguiente propuesta de trabajo: aplicar en el primer mes 600 encuestas en centros comerciales de Lima, definir a partir de los resultados obtenidos cuáles serán las variables de interés, redactar luego los objetivos del estudio en función de lo que los datos hayan mostrado, procesar la información en una hoja de cálculo y entregar un informe con las tablas de frecuencias obtenidas.</w:t>
      </w:r>
    </w:p>
    <w:p>
      <w:pPr>
        <w:pStyle w:val="Prrafodelista"/>
        <w:numPr>
          <w:ilvl w:val="0"/>
          <w:numId w:val="3"/>
        </w:numPr>
        <w:spacing w:after="100"/>
        <w:jc w:val="both"/>
      </w:pPr>
      <w:r>
        <w:t xml:space="preserve">Identifique al menos tres errores de secuencia respecto del proceso de ocho pasos desarrollado en el capítulo.</w:t>
      </w:r>
    </w:p>
    <w:p>
      <w:pPr>
        <w:pStyle w:val="Prrafodelista"/>
        <w:numPr>
          <w:ilvl w:val="0"/>
          <w:numId w:val="3"/>
        </w:numPr>
        <w:spacing w:after="100"/>
        <w:jc w:val="both"/>
      </w:pPr>
      <w:r>
        <w:t xml:space="preserve">Reordene la propuesta en la secuencia correcta e incorpore las fases que la agencia omitió.</w:t>
      </w:r>
    </w:p>
    <w:p>
      <w:pPr>
        <w:pStyle w:val="Prrafodelista"/>
        <w:numPr>
          <w:ilvl w:val="0"/>
          <w:numId w:val="3"/>
        </w:numPr>
        <w:spacing w:after="100"/>
        <w:jc w:val="both"/>
      </w:pPr>
      <w:r>
        <w:t xml:space="preserve">Explique qué consecuencia concreta tendría, sobre la calidad de los hallazgos, la omisión de la prueba piloto.</w:t>
      </w:r>
    </w:p>
    <w:p>
      <w:pPr>
        <w:pStyle w:val="Ttulo3"/>
        <w:keepNext/>
        <w:spacing w:before="280" w:after="140"/>
      </w:pPr>
      <w:r>
        <w:t xml:space="preserve">Síntesis del capítulo</w:t>
      </w:r>
    </w:p>
    <w:p>
      <w:pPr>
        <w:pStyle w:val="Prrafodelista"/>
        <w:numPr>
          <w:ilvl w:val="0"/>
          <w:numId w:val="3"/>
        </w:numPr>
        <w:spacing w:after="100"/>
        <w:jc w:val="both"/>
      </w:pPr>
      <w:r>
        <w:t xml:space="preserve">La investigación de mercados es investigación aplicada: se ejecuta para sustentar una decisión comercial concreta y se juzga por su utilidad para esa decisión.</w:t>
      </w:r>
    </w:p>
    <w:p>
      <w:pPr>
        <w:pStyle w:val="Prrafodelista"/>
        <w:numPr>
          <w:ilvl w:val="0"/>
          <w:numId w:val="3"/>
        </w:numPr>
        <w:spacing w:after="100"/>
        <w:jc w:val="both"/>
      </w:pPr>
      <w:r>
        <w:t xml:space="preserve">Un estudio solo merece ese nombre si es simultáneamente sistemático, objetivo y fidedigno; el incumplimiento de cualquiera de los tres pilares invalida los hallazgos.</w:t>
      </w:r>
    </w:p>
    <w:p>
      <w:pPr>
        <w:pStyle w:val="Prrafodelista"/>
        <w:numPr>
          <w:ilvl w:val="0"/>
          <w:numId w:val="3"/>
        </w:numPr>
        <w:spacing w:after="100"/>
        <w:jc w:val="both"/>
      </w:pPr>
      <w:r>
        <w:t xml:space="preserve">La investigación cumple tres roles acumulativos: describe lo que ocurre, diagnostica por qué ocurre y predice qué ocurrirá ante una decisión determinada.</w:t>
      </w:r>
    </w:p>
    <w:p>
      <w:pPr>
        <w:pStyle w:val="Prrafodelista"/>
        <w:numPr>
          <w:ilvl w:val="0"/>
          <w:numId w:val="3"/>
        </w:numPr>
        <w:spacing w:after="100"/>
        <w:jc w:val="both"/>
      </w:pPr>
      <w:r>
        <w:t xml:space="preserve">Según su propósito, la investigación identifica problemas y oportunidades latentes o resuelve problemas de marketing ya declarados, y en la práctica ambos tipos se encadenan.</w:t>
      </w:r>
    </w:p>
    <w:p>
      <w:pPr>
        <w:pStyle w:val="Prrafodelista"/>
        <w:numPr>
          <w:ilvl w:val="0"/>
          <w:numId w:val="3"/>
        </w:numPr>
        <w:spacing w:after="100"/>
        <w:jc w:val="both"/>
      </w:pPr>
      <w:r>
        <w:t xml:space="preserve">El proceso cuantitativo sigue una secuencia de ocho pasos que no admite atajos: cada omisión traslada errores no corregibles a las fases posteriores.</w:t>
      </w:r>
    </w:p>
    <w:p>
      <w:pPr>
        <w:pStyle w:val="Prrafodelista"/>
        <w:numPr>
          <w:ilvl w:val="0"/>
          <w:numId w:val="3"/>
        </w:numPr>
        <w:spacing w:after="100"/>
        <w:jc w:val="both"/>
      </w:pPr>
      <w:r>
        <w:t xml:space="preserve">Investigar tiene un costo y, por el principio de value for money, ese costo nunca debe superar la pérdida esperada de decidir equivocadamente.</w:t>
      </w:r>
    </w:p>
    <w:p/>
    <w:p>
      <w:pPr>
        <w:pStyle w:val="Ttulo1"/>
        <w:keepNext/>
        <w:spacing w:before="0" w:after="260"/>
      </w:pPr>
      <w:r>
        <w:t xml:space="preserve">BIBLIOGRAFÍA</w:t>
      </w:r>
    </w:p>
    <w:p>
      <w:pPr>
        <w:spacing w:after="160" w:line="280" w:lineRule="auto"/>
        <w:ind w:left="576" w:hanging="576"/>
        <w:jc w:val="both"/>
      </w:pPr>
      <w:r>
        <w:t xml:space="preserve">Aaker, D. A., Kumar, V. y Day, G. S. (2001). Investigación de mercados (4.ª ed.). México D. F., México: Limusa Wiley.</w:t>
      </w:r>
    </w:p>
    <w:p>
      <w:pPr>
        <w:spacing w:after="160" w:line="280" w:lineRule="auto"/>
        <w:ind w:left="576" w:hanging="576"/>
        <w:jc w:val="both"/>
      </w:pPr>
      <w:r>
        <w:t xml:space="preserve">Hernández Sampieri, R., Fernández Collado, C. y Baptista Lucio, P. (2014). Metodología de la investigación (6.ª ed.). México D. F., México: McGraw-Hill.</w:t>
      </w:r>
    </w:p>
    <w:p>
      <w:pPr>
        <w:spacing w:after="160" w:line="280" w:lineRule="auto"/>
        <w:ind w:left="576" w:hanging="576"/>
        <w:jc w:val="both"/>
      </w:pPr>
      <w:r>
        <w:t xml:space="preserve">Kinnear, T. C. y Taylor, J. R. (1998). Investigación de mercados: un enfoque aplicado (5.ª ed.). Bogotá, Colombia: McGraw-Hill.</w:t>
      </w:r>
    </w:p>
    <w:p>
      <w:pPr>
        <w:spacing w:after="160" w:line="280" w:lineRule="auto"/>
        <w:ind w:left="576" w:hanging="576"/>
        <w:jc w:val="both"/>
      </w:pPr>
      <w:r>
        <w:t xml:space="preserve">Kotler, P. y Keller, K. L. (2012). Dirección de marketing (14.ª ed.). Naucalpan de Juárez, México: Pearson Educación.</w:t>
      </w:r>
    </w:p>
    <w:p>
      <w:pPr>
        <w:spacing w:after="160" w:line="280" w:lineRule="auto"/>
        <w:ind w:left="576" w:hanging="576"/>
        <w:jc w:val="both"/>
      </w:pPr>
      <w:r>
        <w:t xml:space="preserve">Malhotra, N. K. (2008). Investigación de mercados (5.ª ed.). Naucalpan de Juárez, México: Pearson Educación.</w:t>
      </w:r>
    </w:p>
    <w:p>
      <w:pPr>
        <w:spacing w:after="160" w:line="280" w:lineRule="auto"/>
        <w:ind w:left="576" w:hanging="576"/>
        <w:jc w:val="both"/>
      </w:pPr>
      <w:r>
        <w:t xml:space="preserve">McDaniel, C. y Gates, R. (2016). Investigación de mercados (10.ª ed.). México D. F., México: Cengage Learning.</w:t>
      </w:r>
    </w:p>
    <w:p>
      <w:pPr>
        <w:spacing w:after="160" w:line="280" w:lineRule="auto"/>
        <w:ind w:left="576" w:hanging="576"/>
        <w:jc w:val="both"/>
      </w:pPr>
      <w:r>
        <w:t xml:space="preserve">Mita Arancibia, E. G. (2012). Investigación de mercados. Sucre, Bolivia: Universidad Mayor Real y Pontificia de San Francisco Xavier de Chuquisaca.</w:t>
      </w:r>
    </w:p>
    <w:p>
      <w:pPr>
        <w:spacing w:after="160" w:line="280" w:lineRule="auto"/>
        <w:ind w:left="576" w:hanging="576"/>
        <w:jc w:val="both"/>
      </w:pPr>
      <w:r>
        <w:t xml:space="preserve">Zikmund, W. G. y Babin, B. J. (2009). Investigación de mercados (9.ª ed.). México D. F., México: Cengage Learning.</w:t>
      </w:r>
    </w:p>
    <w:sectPr>
      <w:headerReference w:type="default" r:id="rId7"/>
      <w:footerReference w:type="default" r:id="rId8"/>
      <w:headerReference w:type="first" r:id="rId9"/>
      <w:pgSz w:w="12240" w:h="15840"/>
      <w:pgMar w:top="1700" w:right="1620" w:bottom="170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6576" w14:textId="77777777" w:rsidR="00386B41" w:rsidRDefault="00386B41">
      <w:pPr>
        <w:spacing w:line="240" w:lineRule="auto"/>
      </w:pPr>
      <w:r>
        <w:separator/>
      </w:r>
    </w:p>
  </w:endnote>
  <w:endnote w:type="continuationSeparator" w:id="0">
    <w:p w14:paraId="02CDFE99" w14:textId="77777777" w:rsidR="00386B41" w:rsidRDefault="00386B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C0D2F" w14:textId="7D1FC3E2" w:rsidR="00EF0F0C" w:rsidRDefault="00386B41">
    <w:pPr>
      <w:jc w:val="center"/>
    </w:pPr>
    <w:r>
      <w:rPr>
        <w:sz w:val="18"/>
        <w:szCs w:val="18"/>
      </w:rPr>
      <w:fldChar w:fldCharType="begin"/>
    </w:r>
    <w:r>
      <w:rPr>
        <w:sz w:val="18"/>
        <w:szCs w:val="18"/>
      </w:rPr>
      <w:instrText>PAGE</w:instrText>
    </w:r>
    <w:r>
      <w:rPr>
        <w:sz w:val="18"/>
        <w:szCs w:val="18"/>
      </w:rPr>
      <w:fldChar w:fldCharType="separate"/>
    </w:r>
    <w:r w:rsidR="00074FB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7C000" w14:textId="77777777" w:rsidR="00386B41" w:rsidRDefault="00386B41">
      <w:pPr>
        <w:spacing w:line="240" w:lineRule="auto"/>
      </w:pPr>
      <w:r>
        <w:separator/>
      </w:r>
    </w:p>
  </w:footnote>
  <w:footnote w:type="continuationSeparator" w:id="0">
    <w:p w14:paraId="06657FBE" w14:textId="77777777" w:rsidR="00386B41" w:rsidRDefault="00386B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AEDAD" w14:textId="499D586C" w:rsidR="00EF0F0C" w:rsidRDefault="00BF57DB" w:rsidP="00BF57DB">
    <w:pPr>
      <w:pBdr>
        <w:bottom w:val="single" w:sz="4" w:space="4" w:color="000000"/>
      </w:pBdr>
      <w:spacing w:after="200"/>
      <w:jc w:val="right"/>
    </w:pPr>
    <w:r>
      <w:rPr>
        <w:noProof/>
      </w:rPr>
      <w:drawing>
        <wp:anchor distT="0" distB="0" distL="114300" distR="114300" simplePos="0" relativeHeight="251661312" behindDoc="0" locked="0" layoutInCell="1" allowOverlap="1" wp14:anchorId="34560C80" wp14:editId="7AA5294B">
          <wp:simplePos x="0" y="0"/>
          <wp:positionH relativeFrom="column">
            <wp:posOffset>-141333</wp:posOffset>
          </wp:positionH>
          <wp:positionV relativeFrom="paragraph">
            <wp:posOffset>-174625</wp:posOffset>
          </wp:positionV>
          <wp:extent cx="1583267" cy="607927"/>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86B41">
      <w:rPr>
        <w:spacing w:val="40"/>
        <w:sz w:val="16"/>
        <w:szCs w:val="16"/>
      </w:rPr>
      <w:t>INVESTIGACIÓN CUANTITATIVA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F80A8" w14:textId="7E26A206" w:rsidR="00074FB2" w:rsidRDefault="00BF57DB" w:rsidP="00BF57DB">
    <w:pPr>
      <w:pBdr>
        <w:bottom w:val="single" w:sz="4" w:space="4" w:color="000000"/>
      </w:pBdr>
      <w:spacing w:after="200"/>
      <w:jc w:val="right"/>
    </w:pPr>
    <w:r>
      <w:rPr>
        <w:noProof/>
      </w:rPr>
      <w:drawing>
        <wp:anchor distT="0" distB="0" distL="114300" distR="114300" simplePos="0" relativeHeight="251663360" behindDoc="0" locked="0" layoutInCell="1" allowOverlap="1" wp14:anchorId="24D044A8" wp14:editId="64E69D1F">
          <wp:simplePos x="0" y="0"/>
          <wp:positionH relativeFrom="column">
            <wp:posOffset>-141333</wp:posOffset>
          </wp:positionH>
          <wp:positionV relativeFrom="paragraph">
            <wp:posOffset>-174625</wp:posOffset>
          </wp:positionV>
          <wp:extent cx="1583267" cy="607927"/>
          <wp:effectExtent l="0" t="0" r="0" b="190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5650" b="25128"/>
                  <a:stretch/>
                </pic:blipFill>
                <pic:spPr bwMode="auto">
                  <a:xfrm>
                    <a:off x="0" y="0"/>
                    <a:ext cx="1583267" cy="6079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pacing w:val="40"/>
        <w:sz w:val="16"/>
        <w:szCs w:val="16"/>
      </w:rPr>
      <w:t>INVESTIGACIÓN CUANTITATIVA</w:t>
    </w:r>
  </w:p>
  <w:p w14:paraId="0EDB9384" w14:textId="77777777" w:rsidR="00EF0F0C" w:rsidRPr="00074FB2" w:rsidRDefault="00EF0F0C" w:rsidP="00074F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304B"/>
    <w:multiLevelType w:val="hybridMultilevel"/>
    <w:tmpl w:val="C0ECA272"/>
    <w:lvl w:ilvl="0" w:tplc="8C1CB4A8">
      <w:start w:val="1"/>
      <w:numFmt w:val="bullet"/>
      <w:lvlText w:val="●"/>
      <w:lvlJc w:val="left"/>
      <w:pPr>
        <w:ind w:left="720" w:hanging="360"/>
      </w:pPr>
    </w:lvl>
    <w:lvl w:ilvl="1" w:tplc="3F224BFA">
      <w:start w:val="1"/>
      <w:numFmt w:val="bullet"/>
      <w:lvlText w:val="○"/>
      <w:lvlJc w:val="left"/>
      <w:pPr>
        <w:ind w:left="1440" w:hanging="360"/>
      </w:pPr>
    </w:lvl>
    <w:lvl w:ilvl="2" w:tplc="23C8F72E">
      <w:start w:val="1"/>
      <w:numFmt w:val="bullet"/>
      <w:lvlText w:val="■"/>
      <w:lvlJc w:val="left"/>
      <w:pPr>
        <w:ind w:left="2160" w:hanging="360"/>
      </w:pPr>
    </w:lvl>
    <w:lvl w:ilvl="3" w:tplc="2A882EDA">
      <w:start w:val="1"/>
      <w:numFmt w:val="bullet"/>
      <w:lvlText w:val="●"/>
      <w:lvlJc w:val="left"/>
      <w:pPr>
        <w:ind w:left="2880" w:hanging="360"/>
      </w:pPr>
    </w:lvl>
    <w:lvl w:ilvl="4" w:tplc="BDA85716">
      <w:start w:val="1"/>
      <w:numFmt w:val="bullet"/>
      <w:lvlText w:val="○"/>
      <w:lvlJc w:val="left"/>
      <w:pPr>
        <w:ind w:left="3600" w:hanging="360"/>
      </w:pPr>
    </w:lvl>
    <w:lvl w:ilvl="5" w:tplc="63448AB2">
      <w:start w:val="1"/>
      <w:numFmt w:val="bullet"/>
      <w:lvlText w:val="■"/>
      <w:lvlJc w:val="left"/>
      <w:pPr>
        <w:ind w:left="4320" w:hanging="360"/>
      </w:pPr>
    </w:lvl>
    <w:lvl w:ilvl="6" w:tplc="583C5EFE">
      <w:start w:val="1"/>
      <w:numFmt w:val="bullet"/>
      <w:lvlText w:val="●"/>
      <w:lvlJc w:val="left"/>
      <w:pPr>
        <w:ind w:left="5040" w:hanging="360"/>
      </w:pPr>
    </w:lvl>
    <w:lvl w:ilvl="7" w:tplc="BD445F1C">
      <w:start w:val="1"/>
      <w:numFmt w:val="bullet"/>
      <w:lvlText w:val="●"/>
      <w:lvlJc w:val="left"/>
      <w:pPr>
        <w:ind w:left="5760" w:hanging="360"/>
      </w:pPr>
    </w:lvl>
    <w:lvl w:ilvl="8" w:tplc="24AE964E">
      <w:start w:val="1"/>
      <w:numFmt w:val="bullet"/>
      <w:lvlText w:val="●"/>
      <w:lvlJc w:val="left"/>
      <w:pPr>
        <w:ind w:left="6480" w:hanging="360"/>
      </w:pPr>
    </w:lvl>
  </w:abstractNum>
  <w:abstractNum w:abstractNumId="1" w15:restartNumberingAfterBreak="0">
    <w:nsid w:val="65B34204"/>
    <w:multiLevelType w:val="hybridMultilevel"/>
    <w:tmpl w:val="852EB164"/>
    <w:lvl w:ilvl="0" w:tplc="D42C3162">
      <w:start w:val="1"/>
      <w:numFmt w:val="bullet"/>
      <w:lvlText w:val="—"/>
      <w:lvlJc w:val="left"/>
      <w:pPr>
        <w:ind w:left="504" w:hanging="316"/>
      </w:pPr>
    </w:lvl>
    <w:lvl w:ilvl="1" w:tplc="D6FABFC2">
      <w:start w:val="1"/>
      <w:numFmt w:val="bullet"/>
      <w:lvlText w:val="·"/>
      <w:lvlJc w:val="left"/>
      <w:pPr>
        <w:ind w:left="936" w:hanging="316"/>
      </w:pPr>
    </w:lvl>
    <w:lvl w:ilvl="2" w:tplc="2132BB8E">
      <w:numFmt w:val="decimal"/>
      <w:lvlText w:val=""/>
      <w:lvlJc w:val="left"/>
    </w:lvl>
    <w:lvl w:ilvl="3" w:tplc="A7E6A6E6">
      <w:numFmt w:val="decimal"/>
      <w:lvlText w:val=""/>
      <w:lvlJc w:val="left"/>
    </w:lvl>
    <w:lvl w:ilvl="4" w:tplc="715AF91A">
      <w:numFmt w:val="decimal"/>
      <w:lvlText w:val=""/>
      <w:lvlJc w:val="left"/>
    </w:lvl>
    <w:lvl w:ilvl="5" w:tplc="2678216C">
      <w:numFmt w:val="decimal"/>
      <w:lvlText w:val=""/>
      <w:lvlJc w:val="left"/>
    </w:lvl>
    <w:lvl w:ilvl="6" w:tplc="890610E6">
      <w:numFmt w:val="decimal"/>
      <w:lvlText w:val=""/>
      <w:lvlJc w:val="left"/>
    </w:lvl>
    <w:lvl w:ilvl="7" w:tplc="CD445CE2">
      <w:numFmt w:val="decimal"/>
      <w:lvlText w:val=""/>
      <w:lvlJc w:val="left"/>
    </w:lvl>
    <w:lvl w:ilvl="8" w:tplc="E2883524">
      <w:numFmt w:val="decimal"/>
      <w:lvlText w:val=""/>
      <w:lvlJc w:val="left"/>
    </w:lvl>
  </w:abstractNum>
  <w:abstractNum w:abstractNumId="2" w15:restartNumberingAfterBreak="0">
    <w:nsid w:val="7D6A2E9D"/>
    <w:multiLevelType w:val="hybridMultilevel"/>
    <w:tmpl w:val="0010C0D0"/>
    <w:lvl w:ilvl="0" w:tplc="81EA5990">
      <w:start w:val="1"/>
      <w:numFmt w:val="decimal"/>
      <w:lvlText w:val="%1."/>
      <w:lvlJc w:val="left"/>
      <w:pPr>
        <w:ind w:left="576" w:hanging="403"/>
      </w:pPr>
    </w:lvl>
    <w:lvl w:ilvl="1" w:tplc="420AE55A">
      <w:numFmt w:val="decimal"/>
      <w:lvlText w:val=""/>
      <w:lvlJc w:val="left"/>
    </w:lvl>
    <w:lvl w:ilvl="2" w:tplc="33FE27BE">
      <w:numFmt w:val="decimal"/>
      <w:lvlText w:val=""/>
      <w:lvlJc w:val="left"/>
    </w:lvl>
    <w:lvl w:ilvl="3" w:tplc="EC68DD52">
      <w:numFmt w:val="decimal"/>
      <w:lvlText w:val=""/>
      <w:lvlJc w:val="left"/>
    </w:lvl>
    <w:lvl w:ilvl="4" w:tplc="14987520">
      <w:numFmt w:val="decimal"/>
      <w:lvlText w:val=""/>
      <w:lvlJc w:val="left"/>
    </w:lvl>
    <w:lvl w:ilvl="5" w:tplc="E6B09A1E">
      <w:numFmt w:val="decimal"/>
      <w:lvlText w:val=""/>
      <w:lvlJc w:val="left"/>
    </w:lvl>
    <w:lvl w:ilvl="6" w:tplc="DE588C8E">
      <w:numFmt w:val="decimal"/>
      <w:lvlText w:val=""/>
      <w:lvlJc w:val="left"/>
    </w:lvl>
    <w:lvl w:ilvl="7" w:tplc="BB3EAEE8">
      <w:numFmt w:val="decimal"/>
      <w:lvlText w:val=""/>
      <w:lvlJc w:val="left"/>
    </w:lvl>
    <w:lvl w:ilvl="8" w:tplc="64FEC022">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F0C"/>
    <w:rsid w:val="00074FB2"/>
    <w:rsid w:val="00386B41"/>
    <w:rsid w:val="00BF57DB"/>
    <w:rsid w:val="00EF0F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2D12D"/>
  <w15:docId w15:val="{195DBEE7-0A2B-4708-8CCE-1B2455F21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color w:val="000000"/>
        <w:sz w:val="22"/>
        <w:szCs w:val="22"/>
        <w:lang w:val="es-PE" w:eastAsia="es-PE"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40"/>
      <w:szCs w:val="40"/>
    </w:rPr>
  </w:style>
  <w:style w:type="paragraph" w:styleId="Ttulo2">
    <w:name w:val="heading 2"/>
    <w:uiPriority w:val="9"/>
    <w:unhideWhenUsed/>
    <w:qFormat/>
    <w:pPr>
      <w:outlineLvl w:val="1"/>
    </w:pPr>
    <w:rPr>
      <w:b/>
      <w:bCs/>
      <w:sz w:val="28"/>
      <w:szCs w:val="28"/>
    </w:rPr>
  </w:style>
  <w:style w:type="paragraph" w:styleId="Ttulo3">
    <w:name w:val="heading 3"/>
    <w:uiPriority w:val="9"/>
    <w:unhideWhenUsed/>
    <w:qFormat/>
    <w:pPr>
      <w:outlineLvl w:val="2"/>
    </w:pPr>
    <w:rPr>
      <w:b/>
      <w:bCs/>
      <w:sz w:val="24"/>
      <w:szCs w:val="24"/>
    </w:rPr>
  </w:style>
  <w:style w:type="paragraph" w:styleId="Ttulo4">
    <w:name w:val="heading 4"/>
    <w:uiPriority w:val="9"/>
    <w:unhideWhenUsed/>
    <w:qFormat/>
    <w:pPr>
      <w:outlineLvl w:val="3"/>
    </w:pPr>
    <w:rPr>
      <w:b/>
      <w:bCs/>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74FB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074FB2"/>
  </w:style>
  <w:style w:type="paragraph" w:styleId="Piedepgina">
    <w:name w:val="footer"/>
    <w:basedOn w:val="Normal"/>
    <w:link w:val="PiedepginaCar"/>
    <w:uiPriority w:val="99"/>
    <w:unhideWhenUsed/>
    <w:rsid w:val="00074FB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074FB2"/>
  </w:style>
  <w:style w:type="paragraph" w:styleId="NormalWeb">
    <w:name w:val="Normal (Web)"/>
    <w:basedOn w:val="Normal"/>
    <w:uiPriority w:val="99"/>
    <w:semiHidden/>
    <w:unhideWhenUsed/>
    <w:rsid w:val="00074FB2"/>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72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5182</Words>
  <Characters>28507</Characters>
  <Application>Microsoft Office Word</Application>
  <DocSecurity>0</DocSecurity>
  <Lines>237</Lines>
  <Paragraphs>67</Paragraphs>
  <ScaleCrop>false</ScaleCrop>
  <Company/>
  <LinksUpToDate>false</LinksUpToDate>
  <CharactersWithSpaces>33622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Compendio teórico: sesión 1</dc:title>
  <dc:creator>Investigación Cuantitativa</dc:creator>
  <dc:description>Investigación cuantitativa aplicada a la investigación de mercados</dc:description>
  <cp:lastModifiedBy>Usuario</cp:lastModifiedBy>
  <cp:revision>3</cp:revision>
  <cp:lastPrinted>2026-08-18T15:40:00Z</cp:lastPrinted>
  <dcterms:created xsi:type="dcterms:W3CDTF">2026-08-18T15:40:00Z</dcterms:created>
  <dcterms:modified xsi:type="dcterms:W3CDTF">2026-08-18T15:45:00Z</dcterms:modified>
</cp:coreProperties>
</file>