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7A334" w14:textId="77777777" w:rsidR="00952032" w:rsidRDefault="00136B8E">
      <w:pPr>
        <w:spacing w:after="20"/>
      </w:pPr>
      <w:r>
        <w:rPr>
          <w:color w:val="595959"/>
          <w:sz w:val="18"/>
          <w:szCs w:val="18"/>
        </w:rPr>
        <w:t>INVESTIGACIÓN CUANTITATIVA · MARKETING II · 2026-II</w:t>
      </w:r>
    </w:p>
    <w:p w14:paraId="5EBCEB50" w14:textId="77777777" w:rsidR="00952032" w:rsidRDefault="00136B8E">
      <w:r>
        <w:rPr>
          <w:b/>
          <w:bCs/>
          <w:color w:val="1F3864"/>
          <w:sz w:val="28"/>
          <w:szCs w:val="28"/>
        </w:rPr>
        <w:t>MATERIALES DE LA SESIÓN DE HOY</w:t>
      </w:r>
    </w:p>
    <w:p w14:paraId="109C4BB5" w14:textId="77777777" w:rsidR="00952032" w:rsidRDefault="00136B8E">
      <w:pPr>
        <w:pBdr>
          <w:bottom w:val="single" w:sz="10" w:space="6" w:color="2E74B5"/>
        </w:pBdr>
        <w:spacing w:before="50"/>
      </w:pPr>
      <w:r>
        <w:rPr>
          <w:b/>
          <w:bCs/>
          <w:color w:val="2E74B5"/>
          <w:sz w:val="20"/>
          <w:szCs w:val="20"/>
        </w:rPr>
        <w:t>Martes · 3 horas académicas · Semana 1 — inicio de la parte cuantitativa</w:t>
      </w:r>
    </w:p>
    <w:p w14:paraId="57112AF4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Guion de la sesión (para el docente)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00"/>
        <w:gridCol w:w="5360"/>
      </w:tblGrid>
      <w:tr w:rsidR="00952032" w14:paraId="0BCF8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A9C86D" w14:textId="77777777" w:rsidR="00952032" w:rsidRDefault="00136B8E">
            <w:pPr>
              <w:spacing w:line="26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MIN</w:t>
            </w:r>
          </w:p>
        </w:tc>
        <w:tc>
          <w:tcPr>
            <w:tcW w:w="300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7AEC1E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MOMENTO</w:t>
            </w:r>
          </w:p>
        </w:tc>
        <w:tc>
          <w:tcPr>
            <w:tcW w:w="5360" w:type="dxa"/>
            <w:shd w:val="clear" w:color="auto" w:fill="1F3864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AC111AA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EN QUÉ CONSISTE</w:t>
            </w:r>
          </w:p>
        </w:tc>
      </w:tr>
      <w:tr w:rsidR="00952032" w14:paraId="7A6C3C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7968C1" w14:textId="77777777" w:rsidR="00952032" w:rsidRDefault="00136B8E">
            <w:pPr>
              <w:spacing w:line="262" w:lineRule="auto"/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0B472FB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Actividad de introducción</w:t>
            </w:r>
          </w:p>
        </w:tc>
        <w:tc>
          <w:tcPr>
            <w:tcW w:w="5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ABC9DF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Dinámica «La pregunta millonaria» (Material 1).</w:t>
            </w:r>
          </w:p>
        </w:tc>
      </w:tr>
      <w:tr w:rsidR="00952032" w14:paraId="3B60E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65D85F" w14:textId="77777777" w:rsidR="00952032" w:rsidRDefault="00136B8E">
            <w:pPr>
              <w:spacing w:line="262" w:lineRule="auto"/>
              <w:jc w:val="center"/>
            </w:pPr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2A8210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Indicaciones del cuestionario</w:t>
            </w:r>
          </w:p>
        </w:tc>
        <w:tc>
          <w:tcPr>
            <w:tcW w:w="5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CCC7994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Repaso de cómo aplicar y difundir la encuesta (Material 2).</w:t>
            </w:r>
          </w:p>
        </w:tc>
      </w:tr>
      <w:tr w:rsidR="00952032" w14:paraId="4E1AF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082F21C" w14:textId="77777777" w:rsidR="00952032" w:rsidRDefault="00136B8E">
            <w:pPr>
              <w:spacing w:line="262" w:lineRule="auto"/>
              <w:jc w:val="center"/>
            </w:pPr>
            <w:r>
              <w:rPr>
                <w:color w:val="000000"/>
                <w:sz w:val="18"/>
                <w:szCs w:val="18"/>
              </w:rPr>
              <w:t>35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8EC3AA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Teoría-práctica</w:t>
            </w:r>
          </w:p>
        </w:tc>
        <w:tc>
          <w:tcPr>
            <w:tcW w:w="5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1F4F9AC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De la matriz al informe: variables e hipótesis (Material 3).</w:t>
            </w:r>
          </w:p>
        </w:tc>
      </w:tr>
      <w:tr w:rsidR="00952032" w14:paraId="78C4F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B50D965" w14:textId="77777777" w:rsidR="00952032" w:rsidRDefault="00136B8E">
            <w:pPr>
              <w:spacing w:line="262" w:lineRule="auto"/>
              <w:jc w:val="center"/>
            </w:pPr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B1042E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Prá</w:t>
            </w:r>
            <w:r>
              <w:rPr>
                <w:b/>
                <w:bCs/>
                <w:color w:val="000000"/>
                <w:sz w:val="18"/>
                <w:szCs w:val="18"/>
              </w:rPr>
              <w:t>ctica</w:t>
            </w:r>
          </w:p>
        </w:tc>
        <w:tc>
          <w:tcPr>
            <w:tcW w:w="5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CFA48BB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Los equipos afinan sus variables e hipótesis en la hoja de trabajo.</w:t>
            </w:r>
          </w:p>
        </w:tc>
      </w:tr>
      <w:tr w:rsidR="00952032" w14:paraId="6B761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35C638" w14:textId="77777777" w:rsidR="00952032" w:rsidRDefault="00136B8E">
            <w:pPr>
              <w:spacing w:line="262" w:lineRule="auto"/>
              <w:jc w:val="center"/>
            </w:pPr>
            <w:r>
              <w:rPr>
                <w:color w:val="000000"/>
                <w:sz w:val="18"/>
                <w:szCs w:val="18"/>
              </w:rPr>
              <w:t>40</w:t>
            </w:r>
          </w:p>
        </w:tc>
        <w:tc>
          <w:tcPr>
            <w:tcW w:w="300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5021C73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Avance del proyecto</w:t>
            </w:r>
          </w:p>
        </w:tc>
        <w:tc>
          <w:tcPr>
            <w:tcW w:w="5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D0A33E7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Trasladan el planteamiento a la plantilla (sección 2.2.1).</w:t>
            </w:r>
          </w:p>
        </w:tc>
      </w:tr>
    </w:tbl>
    <w:p w14:paraId="2BE005F0" w14:textId="77777777" w:rsidR="00952032" w:rsidRDefault="00136B8E">
      <w:r>
        <w:br w:type="page"/>
      </w:r>
    </w:p>
    <w:p w14:paraId="4C509EBB" w14:textId="77777777" w:rsidR="00952032" w:rsidRDefault="00136B8E">
      <w:pPr>
        <w:keepNext/>
        <w:pBdr>
          <w:bottom w:val="single" w:sz="8" w:space="2" w:color="1F3864"/>
        </w:pBdr>
        <w:spacing w:before="240" w:after="100" w:line="288" w:lineRule="auto"/>
      </w:pPr>
      <w:r>
        <w:rPr>
          <w:b/>
          <w:bCs/>
          <w:color w:val="1F3864"/>
          <w:sz w:val="25"/>
          <w:szCs w:val="25"/>
        </w:rPr>
        <w:lastRenderedPageBreak/>
        <w:t>Material 1 · Actividad de introducción (10 min)</w:t>
      </w:r>
    </w:p>
    <w:p w14:paraId="4BE63DE8" w14:textId="77777777" w:rsidR="00952032" w:rsidRDefault="00136B8E">
      <w:pPr>
        <w:spacing w:after="60" w:line="276" w:lineRule="auto"/>
      </w:pPr>
      <w:r>
        <w:rPr>
          <w:b/>
          <w:bCs/>
          <w:color w:val="000000"/>
          <w:sz w:val="21"/>
          <w:szCs w:val="21"/>
        </w:rPr>
        <w:t>«La pregunta millonaria»</w:t>
      </w:r>
    </w:p>
    <w:tbl>
      <w:tblPr>
        <w:tblW w:w="936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032" w14:paraId="281463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AE1BC2E" w14:textId="77777777" w:rsidR="00952032" w:rsidRDefault="00136B8E">
            <w:pPr>
              <w:spacing w:after="40"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Objetivo: </w:t>
            </w:r>
            <w:r>
              <w:rPr>
                <w:color w:val="000000"/>
                <w:sz w:val="19"/>
                <w:szCs w:val="19"/>
              </w:rPr>
              <w:t>que los estudiantes noten que una buena investigación empieza por una buena pregunta.</w:t>
            </w:r>
          </w:p>
          <w:p w14:paraId="20FD14D1" w14:textId="77777777" w:rsidR="00952032" w:rsidRDefault="00136B8E">
            <w:pPr>
              <w:spacing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Tiempo: </w:t>
            </w:r>
            <w:r>
              <w:rPr>
                <w:color w:val="000000"/>
                <w:sz w:val="19"/>
                <w:szCs w:val="19"/>
              </w:rPr>
              <w:t>10 minutos.</w:t>
            </w:r>
          </w:p>
        </w:tc>
      </w:tr>
    </w:tbl>
    <w:p w14:paraId="312D999A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Cómo se hace</w:t>
      </w:r>
    </w:p>
    <w:p w14:paraId="3D6A8422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Plantee la situación: «Su producto va a salir al mercado, pero solo pueden hacerle UNA pregunta a su cliente ideal antes de decidir. ¿Cuál sería?».</w:t>
      </w:r>
    </w:p>
    <w:p w14:paraId="3A5BE85D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Cada equipo escribe su pregunta en una hoja o en el chat (2 min).</w:t>
      </w:r>
    </w:p>
    <w:p w14:paraId="72EE13B8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3 o 4 equipos leen su pregunta en voz alta</w:t>
      </w:r>
      <w:r>
        <w:rPr>
          <w:color w:val="000000"/>
          <w:sz w:val="20"/>
          <w:szCs w:val="20"/>
        </w:rPr>
        <w:t xml:space="preserve"> (3 min).</w:t>
      </w:r>
    </w:p>
    <w:p w14:paraId="3277752D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El docente clasifica en la pizarra: pregunta «de opinión» vs. pregunta «medible con datos» (3 min).</w:t>
      </w:r>
    </w:p>
    <w:p w14:paraId="2BD71897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Cierre (2 min): «En investigación cuantitativa convertimos esas preguntas en variables que se pueden medir y en hipótesis que se pueden comprobar»</w:t>
      </w:r>
      <w:r>
        <w:rPr>
          <w:color w:val="000000"/>
          <w:sz w:val="20"/>
          <w:szCs w:val="20"/>
        </w:rPr>
        <w:t>. Enlaza con el Material 3.</w:t>
      </w:r>
    </w:p>
    <w:tbl>
      <w:tblPr>
        <w:tblW w:w="936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032" w14:paraId="57EC7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5D71924" w14:textId="77777777" w:rsidR="00952032" w:rsidRDefault="00136B8E">
            <w:pPr>
              <w:spacing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Idea para el docente: </w:t>
            </w:r>
            <w:r>
              <w:rPr>
                <w:color w:val="000000"/>
                <w:sz w:val="19"/>
                <w:szCs w:val="19"/>
              </w:rPr>
              <w:t>no busque respuestas perfectas; la gracia es que vean la diferencia entre preguntar por gusto y preguntar para decidir con números.</w:t>
            </w:r>
          </w:p>
        </w:tc>
      </w:tr>
    </w:tbl>
    <w:p w14:paraId="253BB7FE" w14:textId="77777777" w:rsidR="00952032" w:rsidRDefault="00136B8E">
      <w:r>
        <w:br w:type="page"/>
      </w:r>
    </w:p>
    <w:p w14:paraId="7F0E53CD" w14:textId="77777777" w:rsidR="00952032" w:rsidRDefault="00136B8E">
      <w:pPr>
        <w:keepNext/>
        <w:pBdr>
          <w:bottom w:val="single" w:sz="8" w:space="2" w:color="1F3864"/>
        </w:pBdr>
        <w:spacing w:before="240" w:after="100" w:line="288" w:lineRule="auto"/>
      </w:pPr>
      <w:r>
        <w:rPr>
          <w:b/>
          <w:bCs/>
          <w:color w:val="1F3864"/>
          <w:sz w:val="25"/>
          <w:szCs w:val="25"/>
        </w:rPr>
        <w:lastRenderedPageBreak/>
        <w:t>Material 2 · Indicaciones para aplicar el cuestionario (20 min)</w:t>
      </w:r>
    </w:p>
    <w:p w14:paraId="63B1D914" w14:textId="77777777" w:rsidR="00952032" w:rsidRDefault="00136B8E">
      <w:pPr>
        <w:spacing w:after="80" w:line="276" w:lineRule="auto"/>
      </w:pPr>
      <w:r>
        <w:rPr>
          <w:i/>
          <w:iCs/>
          <w:color w:val="595959"/>
          <w:sz w:val="19"/>
          <w:szCs w:val="19"/>
        </w:rPr>
        <w:t>Entréguelo a cada equipo o proyéctelo. El cuestionario ya elaborado se difunde HOY y se archiva en el Anexo A.2 del informe.</w:t>
      </w:r>
    </w:p>
    <w:p w14:paraId="38E1CCFA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Antes de difundir — revisión rápida del formulario</w:t>
      </w:r>
    </w:p>
    <w:p w14:paraId="49815E33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Las</w:t>
      </w:r>
      <w:proofErr w:type="gramEnd"/>
      <w:r>
        <w:rPr>
          <w:color w:val="000000"/>
          <w:sz w:val="20"/>
          <w:szCs w:val="20"/>
        </w:rPr>
        <w:t xml:space="preserve"> secciones tienen su salto (filtro → calentamiento → escalas → lámina → re</w:t>
      </w:r>
      <w:r>
        <w:rPr>
          <w:color w:val="000000"/>
          <w:sz w:val="20"/>
          <w:szCs w:val="20"/>
        </w:rPr>
        <w:t>acción → clasificación).</w:t>
      </w:r>
    </w:p>
    <w:p w14:paraId="03079A08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Las</w:t>
      </w:r>
      <w:proofErr w:type="gramEnd"/>
      <w:r>
        <w:rPr>
          <w:color w:val="000000"/>
          <w:sz w:val="20"/>
          <w:szCs w:val="20"/>
        </w:rPr>
        <w:t xml:space="preserve"> preguntas de filtro descartan a quien no es del público objetivo (con salto lógico).</w:t>
      </w:r>
    </w:p>
    <w:p w14:paraId="55ACCDAB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Antes</w:t>
      </w:r>
      <w:proofErr w:type="gramEnd"/>
      <w:r>
        <w:rPr>
          <w:color w:val="000000"/>
          <w:sz w:val="20"/>
          <w:szCs w:val="20"/>
        </w:rPr>
        <w:t xml:space="preserve"> de las preguntas de reacción está la lámina o descripción del producto.</w:t>
      </w:r>
    </w:p>
    <w:p w14:paraId="615AEBC5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Cada</w:t>
      </w:r>
      <w:proofErr w:type="gramEnd"/>
      <w:r>
        <w:rPr>
          <w:color w:val="000000"/>
          <w:sz w:val="20"/>
          <w:szCs w:val="20"/>
        </w:rPr>
        <w:t xml:space="preserve"> pregunta obligatoria está marcada como obligatoria.</w:t>
      </w:r>
    </w:p>
    <w:p w14:paraId="7813BC74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El</w:t>
      </w:r>
      <w:proofErr w:type="gramEnd"/>
      <w:r>
        <w:rPr>
          <w:color w:val="000000"/>
          <w:sz w:val="20"/>
          <w:szCs w:val="20"/>
        </w:rPr>
        <w:t xml:space="preserve"> formulario tiene título, breve descripción y una imagen del producto.</w:t>
      </w:r>
    </w:p>
    <w:p w14:paraId="2831B0D1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Al difundir — cómo lograr respuestas de ca</w:t>
      </w:r>
      <w:r>
        <w:rPr>
          <w:b/>
          <w:bCs/>
          <w:color w:val="2E74B5"/>
        </w:rPr>
        <w:t>lidad</w:t>
      </w:r>
    </w:p>
    <w:p w14:paraId="15591360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b/>
          <w:bCs/>
          <w:color w:val="000000"/>
          <w:sz w:val="20"/>
          <w:szCs w:val="20"/>
        </w:rPr>
        <w:t xml:space="preserve">Meta de respuestas: </w:t>
      </w:r>
      <w:r>
        <w:rPr>
          <w:color w:val="000000"/>
          <w:sz w:val="20"/>
          <w:szCs w:val="20"/>
        </w:rPr>
        <w:t xml:space="preserve">cada integrante consigue al menos </w:t>
      </w:r>
      <w:r>
        <w:rPr>
          <w:b/>
          <w:bCs/>
          <w:color w:val="000000"/>
          <w:sz w:val="20"/>
          <w:szCs w:val="20"/>
        </w:rPr>
        <w:t>15 encuestas válidas</w:t>
      </w:r>
      <w:r>
        <w:rPr>
          <w:color w:val="000000"/>
          <w:sz w:val="20"/>
          <w:szCs w:val="20"/>
        </w:rPr>
        <w:t xml:space="preserve"> (equipo de 4 ≈ 60).</w:t>
      </w:r>
    </w:p>
    <w:p w14:paraId="15490E5D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Compartir el enlace por WhatsApp, aula y redes; pedir que respondan personas del público objetivo real, no cualquiera.</w:t>
      </w:r>
    </w:p>
    <w:p w14:paraId="2EB8BA03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Aplicar en distintos momentos del dí</w:t>
      </w:r>
      <w:r>
        <w:rPr>
          <w:color w:val="000000"/>
          <w:sz w:val="20"/>
          <w:szCs w:val="20"/>
        </w:rPr>
        <w:t>a y lugares para no sesgar la muestra.</w:t>
      </w:r>
    </w:p>
    <w:p w14:paraId="7FC4CFB7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color w:val="000000"/>
          <w:sz w:val="20"/>
          <w:szCs w:val="20"/>
        </w:rPr>
        <w:t>No responder el equipo su propia encuesta para «rellenar»: invalida los datos.</w:t>
      </w:r>
    </w:p>
    <w:p w14:paraId="3C619C63" w14:textId="77777777" w:rsidR="00952032" w:rsidRDefault="00136B8E">
      <w:pPr>
        <w:pStyle w:val="Prrafodelista"/>
        <w:numPr>
          <w:ilvl w:val="0"/>
          <w:numId w:val="1"/>
        </w:numPr>
        <w:spacing w:after="50" w:line="268" w:lineRule="auto"/>
      </w:pPr>
      <w:r>
        <w:rPr>
          <w:b/>
          <w:bCs/>
          <w:color w:val="000000"/>
          <w:sz w:val="20"/>
          <w:szCs w:val="20"/>
        </w:rPr>
        <w:t>Fecha de cierre: lunes 13 de octubre</w:t>
      </w:r>
      <w:r>
        <w:rPr>
          <w:color w:val="000000"/>
          <w:sz w:val="20"/>
          <w:szCs w:val="20"/>
        </w:rPr>
        <w:t>. Los resultados se analizan a partir de la Semana 3.</w:t>
      </w:r>
    </w:p>
    <w:tbl>
      <w:tblPr>
        <w:tblW w:w="9360" w:type="dxa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032" w14:paraId="6BD8C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4F8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7B95404" w14:textId="77777777" w:rsidR="00952032" w:rsidRDefault="00136B8E">
            <w:pPr>
              <w:spacing w:line="276" w:lineRule="auto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Recordatorio: </w:t>
            </w:r>
            <w:r>
              <w:rPr>
                <w:color w:val="000000"/>
                <w:sz w:val="19"/>
                <w:szCs w:val="19"/>
              </w:rPr>
              <w:t>guardar el enlace del formulario y</w:t>
            </w:r>
            <w:r>
              <w:rPr>
                <w:color w:val="000000"/>
                <w:sz w:val="19"/>
                <w:szCs w:val="19"/>
              </w:rPr>
              <w:t xml:space="preserve"> una captura de la portada para pegarlos en la plantilla (2.2.3) y en el Anexo A.2.</w:t>
            </w:r>
          </w:p>
        </w:tc>
      </w:tr>
    </w:tbl>
    <w:p w14:paraId="773BB2FC" w14:textId="77777777" w:rsidR="00952032" w:rsidRDefault="00136B8E">
      <w:r>
        <w:br w:type="page"/>
      </w:r>
    </w:p>
    <w:p w14:paraId="484E619C" w14:textId="77777777" w:rsidR="00952032" w:rsidRDefault="00136B8E">
      <w:pPr>
        <w:keepNext/>
        <w:pBdr>
          <w:bottom w:val="single" w:sz="8" w:space="2" w:color="1F3864"/>
        </w:pBdr>
        <w:spacing w:before="240" w:after="100" w:line="288" w:lineRule="auto"/>
      </w:pPr>
      <w:r>
        <w:rPr>
          <w:b/>
          <w:bCs/>
          <w:color w:val="1F3864"/>
          <w:sz w:val="25"/>
          <w:szCs w:val="25"/>
        </w:rPr>
        <w:lastRenderedPageBreak/>
        <w:t>Material 3 · Hoja de trabajo: de la matriz al informe (variables e hipótesis)</w:t>
      </w:r>
    </w:p>
    <w:p w14:paraId="02038574" w14:textId="77777777" w:rsidR="00952032" w:rsidRDefault="00136B8E">
      <w:pPr>
        <w:spacing w:after="80" w:line="276" w:lineRule="auto"/>
      </w:pPr>
      <w:r>
        <w:rPr>
          <w:color w:val="000000"/>
          <w:sz w:val="20"/>
          <w:szCs w:val="20"/>
        </w:rPr>
        <w:t>Ya tienen la matriz «Del objetivo general al cuestionario». Hoy la convierten en el planteamiento del informe. Completen esta hoja y luego cópienla a la plantilla (sección 2.2.1).</w:t>
      </w:r>
    </w:p>
    <w:p w14:paraId="5C235635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Paso 1 · Recuerden la diferencia (teoría breve)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2032" w14:paraId="786D8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2AF0965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Variable independiente</w:t>
            </w:r>
          </w:p>
        </w:tc>
        <w:tc>
          <w:tcPr>
            <w:tcW w:w="4680" w:type="dxa"/>
            <w:shd w:val="clear" w:color="auto" w:fill="E9EF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00845E1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1F4E9C"/>
                <w:sz w:val="18"/>
                <w:szCs w:val="18"/>
              </w:rPr>
              <w:t>Varia</w:t>
            </w:r>
            <w:r>
              <w:rPr>
                <w:b/>
                <w:bCs/>
                <w:color w:val="1F4E9C"/>
                <w:sz w:val="18"/>
                <w:szCs w:val="18"/>
              </w:rPr>
              <w:t>ble dependiente</w:t>
            </w:r>
          </w:p>
        </w:tc>
      </w:tr>
      <w:tr w:rsidR="00952032" w14:paraId="4EE33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1D6651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Es la causa o el factor que influye (lo que se supone que explica). Ej.: el precio, la presentación, la frecuencia de uso.</w:t>
            </w:r>
          </w:p>
        </w:tc>
        <w:tc>
          <w:tcPr>
            <w:tcW w:w="468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EAEF18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>Es el efecto o el resultado que se mide (lo que queremos explicar). Ej.: la intención de compra, la satisfacción.</w:t>
            </w:r>
          </w:p>
        </w:tc>
      </w:tr>
    </w:tbl>
    <w:p w14:paraId="7D02125F" w14:textId="77777777" w:rsidR="00952032" w:rsidRDefault="00136B8E">
      <w:pPr>
        <w:spacing w:before="80" w:after="120" w:line="276" w:lineRule="auto"/>
      </w:pPr>
      <w:r>
        <w:rPr>
          <w:b/>
          <w:bCs/>
          <w:color w:val="000000"/>
          <w:sz w:val="20"/>
          <w:szCs w:val="20"/>
        </w:rPr>
        <w:t xml:space="preserve">Hipótesis: </w:t>
      </w:r>
      <w:r>
        <w:rPr>
          <w:color w:val="000000"/>
          <w:sz w:val="20"/>
          <w:szCs w:val="20"/>
        </w:rPr>
        <w:t>H0 dice</w:t>
      </w:r>
      <w:r>
        <w:rPr>
          <w:color w:val="000000"/>
          <w:sz w:val="20"/>
          <w:szCs w:val="20"/>
        </w:rPr>
        <w:t xml:space="preserve"> que NO hay relación o diferencia; H1 dice que SÍ la hay. Al final se comprueba con los datos (si p &lt; 0.05 se rechaza H0).</w:t>
      </w:r>
    </w:p>
    <w:p w14:paraId="5387C7B0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Paso 2 · Completen su caso</w:t>
      </w:r>
    </w:p>
    <w:p w14:paraId="1B048A79" w14:textId="77777777" w:rsidR="00952032" w:rsidRDefault="00136B8E">
      <w:pPr>
        <w:spacing w:after="30" w:line="276" w:lineRule="auto"/>
      </w:pPr>
      <w:r>
        <w:rPr>
          <w:b/>
          <w:bCs/>
          <w:color w:val="000000"/>
        </w:rPr>
        <w:t>Problema (¿qué necesitan saber y por qué?):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032" w14:paraId="12C827D0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8410E24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52032" w14:paraId="1C90B635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C1AE6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76AAE21F" w14:textId="77777777" w:rsidR="00952032" w:rsidRDefault="00136B8E">
      <w:pPr>
        <w:spacing w:before="80" w:after="30" w:line="276" w:lineRule="auto"/>
      </w:pPr>
      <w:r>
        <w:rPr>
          <w:b/>
          <w:bCs/>
          <w:color w:val="000000"/>
        </w:rPr>
        <w:t>Pregunta general: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2032" w14:paraId="016FD0F7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3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4B1BB6C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39B04615" w14:textId="77777777" w:rsidR="00952032" w:rsidRDefault="00136B8E">
      <w:pPr>
        <w:spacing w:before="80" w:after="30" w:line="276" w:lineRule="auto"/>
      </w:pPr>
      <w:r>
        <w:rPr>
          <w:b/>
          <w:bCs/>
          <w:color w:val="000000"/>
        </w:rPr>
        <w:t>Variables: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52032" w14:paraId="2B2E2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80" w:type="dxa"/>
            <w:shd w:val="clear" w:color="auto" w:fill="F2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A7D6FDE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Independiente(s)</w:t>
            </w:r>
          </w:p>
        </w:tc>
        <w:tc>
          <w:tcPr>
            <w:tcW w:w="4680" w:type="dxa"/>
            <w:shd w:val="clear" w:color="auto" w:fill="F2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9396D97" w14:textId="77777777" w:rsidR="00952032" w:rsidRDefault="00136B8E">
            <w:pPr>
              <w:spacing w:line="26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Dependiente(s)</w:t>
            </w:r>
          </w:p>
        </w:tc>
      </w:tr>
      <w:tr w:rsidR="00952032" w14:paraId="4F8290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4680" w:type="dxa"/>
          <w:cantSplit/>
          <w:trHeight w:val="620"/>
        </w:trPr>
        <w:tc>
          <w:tcPr>
            <w:tcW w:w="468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AD6EDB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EE45557" w14:textId="77777777" w:rsidR="00952032" w:rsidRDefault="00136B8E">
      <w:pPr>
        <w:spacing w:before="80" w:after="30" w:line="276" w:lineRule="auto"/>
      </w:pPr>
      <w:r>
        <w:rPr>
          <w:b/>
          <w:bCs/>
          <w:color w:val="000000"/>
        </w:rPr>
        <w:t>Hipótesis: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952032" w14:paraId="1AC9758C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00" w:type="dxa"/>
            <w:shd w:val="clear" w:color="auto" w:fill="F2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AADAFF" w14:textId="77777777" w:rsidR="00952032" w:rsidRDefault="00136B8E">
            <w:pPr>
              <w:spacing w:line="26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H0</w:t>
            </w:r>
          </w:p>
        </w:tc>
        <w:tc>
          <w:tcPr>
            <w:tcW w:w="82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DA05429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952032" w14:paraId="16BC8597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1100" w:type="dxa"/>
            <w:shd w:val="clear" w:color="auto" w:fill="F2F4F8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AF4EBB" w14:textId="77777777" w:rsidR="00952032" w:rsidRDefault="00136B8E">
            <w:pPr>
              <w:spacing w:line="26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H1</w:t>
            </w:r>
          </w:p>
        </w:tc>
        <w:tc>
          <w:tcPr>
            <w:tcW w:w="8260" w:type="dx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6C31BB" w14:textId="77777777" w:rsidR="00952032" w:rsidRDefault="00136B8E">
            <w:pPr>
              <w:spacing w:line="262" w:lineRule="auto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595D9D3D" w14:textId="77777777" w:rsidR="00952032" w:rsidRDefault="00136B8E">
      <w:pPr>
        <w:keepNext/>
        <w:spacing w:before="150" w:after="70" w:line="280" w:lineRule="auto"/>
      </w:pPr>
      <w:r>
        <w:rPr>
          <w:b/>
          <w:bCs/>
          <w:color w:val="2E74B5"/>
        </w:rPr>
        <w:t>Paso 3 · Avance en la plantilla</w:t>
      </w:r>
    </w:p>
    <w:p w14:paraId="77660D84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Copiar</w:t>
      </w:r>
      <w:proofErr w:type="gramEnd"/>
      <w:r>
        <w:rPr>
          <w:color w:val="000000"/>
          <w:sz w:val="20"/>
          <w:szCs w:val="20"/>
        </w:rPr>
        <w:t xml:space="preserve"> problema, pregunta general y objetivos a la sección 2.2.1 de la plantilla.</w:t>
      </w:r>
    </w:p>
    <w:p w14:paraId="2121716C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Vaciar</w:t>
      </w:r>
      <w:proofErr w:type="gramEnd"/>
      <w:r>
        <w:rPr>
          <w:color w:val="000000"/>
          <w:sz w:val="20"/>
          <w:szCs w:val="20"/>
        </w:rPr>
        <w:t xml:space="preserve"> las variables en la Tabla 1 (Variables de estudio).</w:t>
      </w:r>
    </w:p>
    <w:p w14:paraId="1B090870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Escribir</w:t>
      </w:r>
      <w:proofErr w:type="gramEnd"/>
      <w:r>
        <w:rPr>
          <w:color w:val="000000"/>
          <w:sz w:val="20"/>
          <w:szCs w:val="20"/>
        </w:rPr>
        <w:t xml:space="preserve"> H0 y H1 en la Tabla 2 (Hipótesis).</w:t>
      </w:r>
    </w:p>
    <w:p w14:paraId="4495801D" w14:textId="77777777" w:rsidR="00952032" w:rsidRDefault="00136B8E">
      <w:pPr>
        <w:spacing w:after="50" w:line="268" w:lineRule="auto"/>
      </w:pPr>
      <w:proofErr w:type="gramStart"/>
      <w:r>
        <w:rPr>
          <w:color w:val="000000"/>
        </w:rPr>
        <w:t>☐</w:t>
      </w:r>
      <w:r>
        <w:rPr>
          <w:color w:val="000000"/>
        </w:rPr>
        <w:t xml:space="preserve">  </w:t>
      </w:r>
      <w:r>
        <w:rPr>
          <w:color w:val="000000"/>
          <w:sz w:val="20"/>
          <w:szCs w:val="20"/>
        </w:rPr>
        <w:t>Marcar</w:t>
      </w:r>
      <w:proofErr w:type="gramEnd"/>
      <w:r>
        <w:rPr>
          <w:color w:val="000000"/>
          <w:sz w:val="20"/>
          <w:szCs w:val="20"/>
        </w:rPr>
        <w:t xml:space="preserve"> el avance de 2.2.1 en la tabla de seguimiento de la plantilla.</w:t>
      </w:r>
    </w:p>
    <w:sectPr w:rsidR="00952032">
      <w:footerReference w:type="default" r:id="rId7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B79C3" w14:textId="77777777" w:rsidR="00136B8E" w:rsidRDefault="00136B8E">
      <w:r>
        <w:separator/>
      </w:r>
    </w:p>
  </w:endnote>
  <w:endnote w:type="continuationSeparator" w:id="0">
    <w:p w14:paraId="34AA0C56" w14:textId="77777777" w:rsidR="00136B8E" w:rsidRDefault="0013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46AB6" w14:textId="77777777" w:rsidR="00952032" w:rsidRDefault="00136B8E">
    <w:pPr>
      <w:jc w:val="center"/>
    </w:pPr>
    <w:r>
      <w:rPr>
        <w:color w:val="808080"/>
        <w:sz w:val="15"/>
        <w:szCs w:val="15"/>
      </w:rPr>
      <w:t xml:space="preserve">Materiales de la sesión · Investigación Cuantitativa · Marketing II · 2026-II — Pág. </w:t>
    </w:r>
    <w:r>
      <w:rPr>
        <w:color w:val="808080"/>
        <w:sz w:val="15"/>
        <w:szCs w:val="15"/>
      </w:rPr>
      <w:fldChar w:fldCharType="begin"/>
    </w:r>
    <w:r>
      <w:rPr>
        <w:color w:val="808080"/>
        <w:sz w:val="15"/>
        <w:szCs w:val="15"/>
      </w:rPr>
      <w:instrText>PAGE</w:instrText>
    </w:r>
    <w:r>
      <w:rPr>
        <w:color w:val="808080"/>
        <w:sz w:val="15"/>
        <w:szCs w:val="15"/>
      </w:rPr>
      <w:fldChar w:fldCharType="separate"/>
    </w:r>
    <w:r w:rsidR="000F110E">
      <w:rPr>
        <w:noProof/>
        <w:color w:val="808080"/>
        <w:sz w:val="15"/>
        <w:szCs w:val="15"/>
      </w:rPr>
      <w:t>1</w:t>
    </w:r>
    <w:r>
      <w:rPr>
        <w:color w:val="8080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D9404" w14:textId="77777777" w:rsidR="00136B8E" w:rsidRDefault="00136B8E">
      <w:r>
        <w:separator/>
      </w:r>
    </w:p>
  </w:footnote>
  <w:footnote w:type="continuationSeparator" w:id="0">
    <w:p w14:paraId="10CE5046" w14:textId="77777777" w:rsidR="00136B8E" w:rsidRDefault="00136B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F06FC"/>
    <w:multiLevelType w:val="hybridMultilevel"/>
    <w:tmpl w:val="4CBAE31C"/>
    <w:lvl w:ilvl="0" w:tplc="28F6F060">
      <w:start w:val="1"/>
      <w:numFmt w:val="bullet"/>
      <w:lvlText w:val="●"/>
      <w:lvlJc w:val="left"/>
      <w:pPr>
        <w:ind w:left="720" w:hanging="360"/>
      </w:pPr>
    </w:lvl>
    <w:lvl w:ilvl="1" w:tplc="14EC143C">
      <w:start w:val="1"/>
      <w:numFmt w:val="bullet"/>
      <w:lvlText w:val="○"/>
      <w:lvlJc w:val="left"/>
      <w:pPr>
        <w:ind w:left="1440" w:hanging="360"/>
      </w:pPr>
    </w:lvl>
    <w:lvl w:ilvl="2" w:tplc="9CAA8B1C">
      <w:start w:val="1"/>
      <w:numFmt w:val="bullet"/>
      <w:lvlText w:val="■"/>
      <w:lvlJc w:val="left"/>
      <w:pPr>
        <w:ind w:left="2160" w:hanging="360"/>
      </w:pPr>
    </w:lvl>
    <w:lvl w:ilvl="3" w:tplc="3ECCA09E">
      <w:start w:val="1"/>
      <w:numFmt w:val="bullet"/>
      <w:lvlText w:val="●"/>
      <w:lvlJc w:val="left"/>
      <w:pPr>
        <w:ind w:left="2880" w:hanging="360"/>
      </w:pPr>
    </w:lvl>
    <w:lvl w:ilvl="4" w:tplc="67E2A9DC">
      <w:start w:val="1"/>
      <w:numFmt w:val="bullet"/>
      <w:lvlText w:val="○"/>
      <w:lvlJc w:val="left"/>
      <w:pPr>
        <w:ind w:left="3600" w:hanging="360"/>
      </w:pPr>
    </w:lvl>
    <w:lvl w:ilvl="5" w:tplc="DD000672">
      <w:start w:val="1"/>
      <w:numFmt w:val="bullet"/>
      <w:lvlText w:val="■"/>
      <w:lvlJc w:val="left"/>
      <w:pPr>
        <w:ind w:left="4320" w:hanging="360"/>
      </w:pPr>
    </w:lvl>
    <w:lvl w:ilvl="6" w:tplc="9F60B1C8">
      <w:start w:val="1"/>
      <w:numFmt w:val="bullet"/>
      <w:lvlText w:val="●"/>
      <w:lvlJc w:val="left"/>
      <w:pPr>
        <w:ind w:left="5040" w:hanging="360"/>
      </w:pPr>
    </w:lvl>
    <w:lvl w:ilvl="7" w:tplc="EF8A0CE4">
      <w:start w:val="1"/>
      <w:numFmt w:val="bullet"/>
      <w:lvlText w:val="●"/>
      <w:lvlJc w:val="left"/>
      <w:pPr>
        <w:ind w:left="5760" w:hanging="360"/>
      </w:pPr>
    </w:lvl>
    <w:lvl w:ilvl="8" w:tplc="FB1643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032"/>
    <w:rsid w:val="000F110E"/>
    <w:rsid w:val="00136B8E"/>
    <w:rsid w:val="00952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D3EB35"/>
  <w15:docId w15:val="{6A5DC147-DA0F-443C-8742-7BE258BC3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620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2026-09-29T12:04:00Z</dcterms:created>
  <dcterms:modified xsi:type="dcterms:W3CDTF">2026-09-29T12:04:00Z</dcterms:modified>
</cp:coreProperties>
</file>