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i w:val="false"/>
          <w:iCs w:val="false"/>
          <w:color w:val="595959"/>
          <w:sz w:val="17"/>
          <w:szCs w:val="17"/>
        </w:rPr>
        <w:t xml:space="preserve">INVESTIGACIÓN CUANTITATIVA — PROGRAMA DE MARKETING — SEGUNDO CICLO — PERÍODO 2026-II</w:t>
      </w:r>
    </w:p>
    <w:p>
      <w:pPr>
        <w:spacing w:after="40"/>
        <w:jc w:val="center"/>
      </w:pPr>
      <w:r>
        <w:rPr>
          <w:rFonts w:ascii="Arial" w:cs="Arial" w:eastAsia="Arial" w:hAnsi="Arial"/>
          <w:b/>
          <w:bCs/>
          <w:i w:val="false"/>
          <w:iCs w:val="false"/>
          <w:color w:val="1F3864"/>
          <w:sz w:val="28"/>
          <w:szCs w:val="28"/>
        </w:rPr>
        <w:t xml:space="preserve">GUÍA DEL DOCENTE · SESIÓN 5</w:t>
      </w:r>
    </w:p>
    <w:p>
      <w:pPr>
        <w:spacing w:after="160"/>
        <w:jc w:val="center"/>
      </w:pPr>
      <w:r>
        <w:rPr>
          <w:rFonts w:ascii="Arial" w:cs="Arial" w:eastAsia="Arial" w:hAnsi="Arial"/>
          <w:b/>
          <w:bCs/>
          <w:i w:val="false"/>
          <w:iCs w:val="false"/>
          <w:color w:val="1F3864"/>
          <w:sz w:val="21"/>
          <w:szCs w:val="21"/>
        </w:rPr>
        <w:t xml:space="preserve">PLANTEAMIENTO DEL PROBLEMA, OBJETIVOS, VARIABLES E HIPÓTESIS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Docente</w:t>
            </w:r>
          </w:p>
        </w:tc>
        <w:tc>
          <w:tcPr>
            <w:tcW w:type="dxa" w:w="225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Sesión y fecha</w:t>
            </w:r>
          </w:p>
        </w:tc>
        <w:tc>
          <w:tcPr>
            <w:tcW w:type="dxa" w:w="225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Duración</w:t>
            </w:r>
          </w:p>
        </w:tc>
        <w:tc>
          <w:tcPr>
            <w:tcW w:type="dxa" w:w="225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Actividad del sílabo</w:t>
            </w:r>
          </w:p>
        </w:tc>
      </w:tr>
      <w:tr>
        <w:tc>
          <w:tcPr>
            <w:tcW w:type="dxa" w:w="225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Eduardo Luis Mamani Roque</w:t>
            </w:r>
          </w:p>
        </w:tc>
        <w:tc>
          <w:tcPr>
            <w:tcW w:type="dxa" w:w="225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Sesión 5 · Semana 3 · Martes 1 de setiembre de 2026</w:t>
            </w:r>
          </w:p>
        </w:tc>
        <w:tc>
          <w:tcPr>
            <w:tcW w:type="dxa" w:w="225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135 minutos · 3 horas académicas</w:t>
            </w:r>
          </w:p>
        </w:tc>
        <w:tc>
          <w:tcPr>
            <w:tcW w:type="dxa" w:w="225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Actividad 3: Medición y escalas de medición</w:t>
            </w:r>
          </w:p>
        </w:tc>
      </w:tr>
    </w:tbl>
    <w:p>
      <w:pPr>
        <w:spacing w:after="120"/>
      </w:pPr>
      <w:r>
        <w:rPr>
          <w:rFonts w:ascii="Arial" w:cs="Arial" w:eastAsia="Arial" w:hAnsi="Arial"/>
          <w:b w:val="false"/>
          <w:bCs w:val="false"/>
          <w:i w:val="false"/>
          <w:iCs w:val="false"/>
          <w:color w:val="000000"/>
          <w:sz w:val="20"/>
          <w:szCs w:val="20"/>
        </w:rPr>
        <w:t xml:space="preserve"/>
      </w:r>
    </w:p>
    <w:p>
      <w:pPr>
        <w:spacing w:after="100" w:before="0" w:line="260"/>
        <w:jc w:val="both"/>
      </w:pPr>
      <w:r>
        <w:rPr>
          <w:rFonts w:ascii="Arial" w:cs="Arial" w:eastAsia="Arial" w:hAnsi="Arial"/>
          <w:b/>
          <w:bCs/>
          <w:i w:val="false"/>
          <w:iCs w:val="false"/>
          <w:color w:val="000000"/>
          <w:sz w:val="20"/>
          <w:szCs w:val="20"/>
        </w:rPr>
        <w:t xml:space="preserve">Alcance. </w:t>
      </w:r>
      <w:r>
        <w:rPr>
          <w:rFonts w:ascii="Arial" w:cs="Arial" w:eastAsia="Arial" w:hAnsi="Arial"/>
          <w:b w:val="false"/>
          <w:bCs w:val="false"/>
          <w:i w:val="false"/>
          <w:iCs w:val="false"/>
          <w:color w:val="000000"/>
          <w:sz w:val="20"/>
          <w:szCs w:val="20"/>
        </w:rPr>
        <w:t xml:space="preserve">Esta sesión abre formalmente el informe del proyecto integrador. Al terminar los 135 minutos, cada equipo debe tener escrito el punto 2.2.1 de su informe: problema, objetivos, matriz de operacionalización e hipótesis. La sesión siguiente construye el cuestionario sobre esa matriz, de modo que un equipo que no cierre hoy no puede encuestar la próxima semana.</w:t>
      </w:r>
    </w:p>
    <w:p>
      <w:pPr>
        <w:spacing w:after="130" w:before="260"/>
      </w:pPr>
      <w:r>
        <w:rPr>
          <w:rFonts w:ascii="Arial" w:cs="Arial" w:eastAsia="Arial" w:hAnsi="Arial"/>
          <w:b/>
          <w:bCs/>
          <w:i w:val="false"/>
          <w:iCs w:val="false"/>
          <w:color w:val="1F3864"/>
          <w:sz w:val="22"/>
          <w:szCs w:val="22"/>
        </w:rPr>
        <w:t xml:space="preserve">1. LOS CUATRO PRINCIPIOS QUE ORDENAN LA SESIÓN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Principio</w:t>
            </w:r>
          </w:p>
        </w:tc>
        <w:tc>
          <w:tcPr>
            <w:tcW w:type="dxa" w:w="64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Qué significa en el aula</w:t>
            </w:r>
          </w:p>
        </w:tc>
      </w:tr>
      <w:tr>
        <w:tc>
          <w:tcPr>
            <w:tcW w:type="dxa" w:w="2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Evitar el sesgo comercial</w:t>
            </w:r>
          </w:p>
        </w:tc>
        <w:tc>
          <w:tcPr>
            <w:tcW w:type="dxa" w:w="6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El estudio no define campañas ni acciones de venta: define qué información cuantitativa reduce la incertidumbre del gerente.</w:t>
            </w:r>
          </w:p>
        </w:tc>
      </w:tr>
      <w:tr>
        <w:tc>
          <w:tcPr>
            <w:tcW w:type="dxa" w:w="2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Asegurar la falsabilidad</w:t>
            </w:r>
          </w:p>
        </w:tc>
        <w:tc>
          <w:tcPr>
            <w:tcW w:type="dxa" w:w="6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Toda hipótesis debe poder ser rechazada por los datos en Jamovi o Excel. Si ningún resultado posible la contradice, no es hipótesis.</w:t>
            </w:r>
          </w:p>
        </w:tc>
      </w:tr>
      <w:tr>
        <w:tc>
          <w:tcPr>
            <w:tcW w:type="dxa" w:w="2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Operacionalización rigurosa</w:t>
            </w:r>
          </w:p>
        </w:tc>
        <w:tc>
          <w:tcPr>
            <w:tcW w:type="dxa" w:w="6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Toda variable abstracta se vincula obligatoriamente con una escala de medición exacta para el cuestionario.</w:t>
            </w:r>
          </w:p>
        </w:tc>
      </w:tr>
      <w:tr>
        <w:tc>
          <w:tcPr>
            <w:tcW w:type="dxa" w:w="2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Matriz de consistencia como plano</w:t>
            </w:r>
          </w:p>
        </w:tc>
        <w:tc>
          <w:tcPr>
            <w:tcW w:type="dxa" w:w="6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Ninguna pregunta entra al formulario si no responde a un objetivo específico y a una hipótesis declarada.</w:t>
            </w:r>
          </w:p>
        </w:tc>
      </w:tr>
    </w:tbl>
    <w:p>
      <w:pPr>
        <w:spacing w:after="130" w:before="260"/>
      </w:pPr>
      <w:r>
        <w:rPr>
          <w:rFonts w:ascii="Arial" w:cs="Arial" w:eastAsia="Arial" w:hAnsi="Arial"/>
          <w:b/>
          <w:bCs/>
          <w:i w:val="false"/>
          <w:iCs w:val="false"/>
          <w:color w:val="1F3864"/>
          <w:sz w:val="22"/>
          <w:szCs w:val="22"/>
        </w:rPr>
        <w:t xml:space="preserve">2. DISTRIBUCIÓN DE LOS 135 MINUTOS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400"/>
        <w:gridCol w:w="2800"/>
      </w:tblGrid>
      <w:tr>
        <w:trPr>
          <w:tblHeader/>
        </w:trPr>
        <w:tc>
          <w:tcPr>
            <w:tcW w:type="dxa" w:w="14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Tramo</w:t>
            </w:r>
          </w:p>
        </w:tc>
        <w:tc>
          <w:tcPr>
            <w:tcW w:type="dxa" w:w="34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Actividad</w:t>
            </w:r>
          </w:p>
        </w:tc>
        <w:tc>
          <w:tcPr>
            <w:tcW w:type="dxa" w:w="14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Agrupación</w:t>
            </w:r>
          </w:p>
        </w:tc>
        <w:tc>
          <w:tcPr>
            <w:tcW w:type="dxa" w:w="28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Producto de la sesión</w:t>
            </w:r>
          </w:p>
        </w:tc>
      </w:tr>
      <w:tr>
        <w:tc>
          <w:tcPr>
            <w:tcW w:type="dxa" w:w="1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0:00 – 0:05</w:t>
            </w:r>
          </w:p>
        </w:tc>
        <w:tc>
          <w:tcPr>
            <w:tcW w:type="dxa" w:w="3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Encuadre: se escribe la meta del día en la pizarra</w:t>
            </w:r>
          </w:p>
        </w:tc>
        <w:tc>
          <w:tcPr>
            <w:tcW w:type="dxa" w:w="1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Plenaria</w:t>
            </w:r>
          </w:p>
        </w:tc>
        <w:tc>
          <w:tcPr>
            <w:tcW w:type="dxa" w:w="2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Agenda visible</w:t>
            </w:r>
          </w:p>
        </w:tc>
      </w:tr>
      <w:tr>
        <w:tc>
          <w:tcPr>
            <w:tcW w:type="dxa" w:w="1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0:05 – 0:15</w:t>
            </w:r>
          </w:p>
        </w:tc>
        <w:tc>
          <w:tcPr>
            <w:tcW w:type="dxa" w:w="3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Dinámica de arranque: el principio del iceberg</w:t>
            </w:r>
          </w:p>
        </w:tc>
        <w:tc>
          <w:tcPr>
            <w:tcW w:type="dxa" w:w="1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Equipos</w:t>
            </w:r>
          </w:p>
        </w:tc>
        <w:tc>
          <w:tcPr>
            <w:tcW w:type="dxa" w:w="28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Tres síntomas convertidos en causas</w:t>
            </w:r>
          </w:p>
        </w:tc>
      </w:tr>
      <w:tr>
        <w:tc>
          <w:tcPr>
            <w:tcW w:type="dxa" w:w="1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0:15 – 0:25</w:t>
            </w:r>
          </w:p>
        </w:tc>
        <w:tc>
          <w:tcPr>
            <w:tcW w:type="dxa" w:w="3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Bloque 1: el problema investigable, PDG frente a PIM y los cinco pilares</w:t>
            </w:r>
          </w:p>
        </w:tc>
        <w:tc>
          <w:tcPr>
            <w:tcW w:type="dxa" w:w="1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Plenaria</w:t>
            </w:r>
          </w:p>
        </w:tc>
        <w:tc>
          <w:tcPr>
            <w:tcW w:type="dxa" w:w="2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Esquema en el cuaderno</w:t>
            </w:r>
          </w:p>
        </w:tc>
      </w:tr>
      <w:tr>
        <w:tc>
          <w:tcPr>
            <w:tcW w:type="dxa" w:w="1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0:25 – 0:40</w:t>
            </w:r>
          </w:p>
        </w:tc>
        <w:tc>
          <w:tcPr>
            <w:tcW w:type="dxa" w:w="3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Demostración en pizarra: Misti Cacao (producto) y FreshBreak (servicio)</w:t>
            </w:r>
          </w:p>
        </w:tc>
        <w:tc>
          <w:tcPr>
            <w:tcW w:type="dxa" w:w="1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Plenaria</w:t>
            </w:r>
          </w:p>
        </w:tc>
        <w:tc>
          <w:tcPr>
            <w:tcW w:type="dxa" w:w="28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Dos PIM comparados</w:t>
            </w:r>
          </w:p>
        </w:tc>
      </w:tr>
      <w:tr>
        <w:tc>
          <w:tcPr>
            <w:tcW w:type="dxa" w:w="1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0:40 – 0:50</w:t>
            </w:r>
          </w:p>
        </w:tc>
        <w:tc>
          <w:tcPr>
            <w:tcW w:type="dxa" w:w="3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Bloque 2: objetivos con verbo de datos</w:t>
            </w:r>
          </w:p>
        </w:tc>
        <w:tc>
          <w:tcPr>
            <w:tcW w:type="dxa" w:w="1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Plenaria</w:t>
            </w:r>
          </w:p>
        </w:tc>
        <w:tc>
          <w:tcPr>
            <w:tcW w:type="dxa" w:w="2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Cuadro de verbos</w:t>
            </w:r>
          </w:p>
        </w:tc>
      </w:tr>
      <w:tr>
        <w:tc>
          <w:tcPr>
            <w:tcW w:type="dxa" w:w="1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0:50 – 1:00</w:t>
            </w:r>
          </w:p>
        </w:tc>
        <w:tc>
          <w:tcPr>
            <w:tcW w:type="dxa" w:w="3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Práctica: caza del verbo y redacción de un objetivo</w:t>
            </w:r>
          </w:p>
        </w:tc>
        <w:tc>
          <w:tcPr>
            <w:tcW w:type="dxa" w:w="1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Parejas</w:t>
            </w:r>
          </w:p>
        </w:tc>
        <w:tc>
          <w:tcPr>
            <w:tcW w:type="dxa" w:w="28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Objetivo corregido</w:t>
            </w:r>
          </w:p>
        </w:tc>
      </w:tr>
      <w:tr>
        <w:tc>
          <w:tcPr>
            <w:tcW w:type="dxa" w:w="1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1:00 – 1:10</w:t>
            </w:r>
          </w:p>
        </w:tc>
        <w:tc>
          <w:tcPr>
            <w:tcW w:type="dxa" w:w="3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Bloque 3: variable, indicador y escala</w:t>
            </w:r>
          </w:p>
        </w:tc>
        <w:tc>
          <w:tcPr>
            <w:tcW w:type="dxa" w:w="1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Plenaria</w:t>
            </w:r>
          </w:p>
        </w:tc>
        <w:tc>
          <w:tcPr>
            <w:tcW w:type="dxa" w:w="2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Cadena de operacionalización</w:t>
            </w:r>
          </w:p>
        </w:tc>
      </w:tr>
      <w:tr>
        <w:tc>
          <w:tcPr>
            <w:tcW w:type="dxa" w:w="1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1:10 – 1:20</w:t>
            </w:r>
          </w:p>
        </w:tc>
        <w:tc>
          <w:tcPr>
            <w:tcW w:type="dxa" w:w="3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Demostración en pizarra: tabla de operacionalización de los dos casos</w:t>
            </w:r>
          </w:p>
        </w:tc>
        <w:tc>
          <w:tcPr>
            <w:tcW w:type="dxa" w:w="1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Plenaria</w:t>
            </w:r>
          </w:p>
        </w:tc>
        <w:tc>
          <w:tcPr>
            <w:tcW w:type="dxa" w:w="28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Dos matrices comparadas</w:t>
            </w:r>
          </w:p>
        </w:tc>
      </w:tr>
      <w:tr>
        <w:tc>
          <w:tcPr>
            <w:tcW w:type="dxa" w:w="1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1:20 – 1:25</w:t>
            </w:r>
          </w:p>
        </w:tc>
        <w:tc>
          <w:tcPr>
            <w:tcW w:type="dxa" w:w="3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Holgura</w:t>
            </w:r>
          </w:p>
        </w:tc>
        <w:tc>
          <w:tcPr>
            <w:tcW w:type="dxa" w:w="1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w:t>
            </w:r>
          </w:p>
        </w:tc>
        <w:tc>
          <w:tcPr>
            <w:tcW w:type="dxa" w:w="2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w:t>
            </w:r>
          </w:p>
        </w:tc>
      </w:tr>
      <w:tr>
        <w:tc>
          <w:tcPr>
            <w:tcW w:type="dxa" w:w="1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1:25 – 2:05</w:t>
            </w:r>
          </w:p>
        </w:tc>
        <w:tc>
          <w:tcPr>
            <w:tcW w:type="dxa" w:w="3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TALLER DEL PROYECTO: Avance 1 con asesoría por equipos</w:t>
            </w:r>
          </w:p>
        </w:tc>
        <w:tc>
          <w:tcPr>
            <w:tcW w:type="dxa" w:w="1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Equipos</w:t>
            </w:r>
          </w:p>
        </w:tc>
        <w:tc>
          <w:tcPr>
            <w:tcW w:type="dxa" w:w="28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Ficha de avance completada</w:t>
            </w:r>
          </w:p>
        </w:tc>
      </w:tr>
      <w:tr>
        <w:tc>
          <w:tcPr>
            <w:tcW w:type="dxa" w:w="1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2:05 – 2:12</w:t>
            </w:r>
          </w:p>
        </w:tc>
        <w:tc>
          <w:tcPr>
            <w:tcW w:type="dxa" w:w="3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Socialización y verificación de los cinco pilares</w:t>
            </w:r>
          </w:p>
        </w:tc>
        <w:tc>
          <w:tcPr>
            <w:tcW w:type="dxa" w:w="1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Plenaria</w:t>
            </w:r>
          </w:p>
        </w:tc>
        <w:tc>
          <w:tcPr>
            <w:tcW w:type="dxa" w:w="2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Lista de errores del aula</w:t>
            </w:r>
          </w:p>
        </w:tc>
      </w:tr>
      <w:tr>
        <w:tc>
          <w:tcPr>
            <w:tcW w:type="dxa" w:w="1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2:12 – 2:15</w:t>
            </w:r>
          </w:p>
        </w:tc>
        <w:tc>
          <w:tcPr>
            <w:tcW w:type="dxa" w:w="3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Encargo y ticket de salida</w:t>
            </w:r>
          </w:p>
        </w:tc>
        <w:tc>
          <w:tcPr>
            <w:tcW w:type="dxa" w:w="1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Individual</w:t>
            </w:r>
          </w:p>
        </w:tc>
        <w:tc>
          <w:tcPr>
            <w:tcW w:type="dxa" w:w="28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Ticket recogido</w:t>
            </w:r>
          </w:p>
        </w:tc>
      </w:tr>
    </w:tbl>
    <w:p>
      <w:pPr>
        <w:spacing w:after="120"/>
      </w:pPr>
      <w:r>
        <w:rPr>
          <w:rFonts w:ascii="Arial" w:cs="Arial" w:eastAsia="Arial" w:hAnsi="Arial"/>
          <w:b w:val="false"/>
          <w:bCs w:val="false"/>
          <w:i w:val="false"/>
          <w:iCs w:val="false"/>
          <w:color w:val="000000"/>
          <w:sz w:val="20"/>
          <w:szCs w:val="20"/>
        </w:rPr>
        <w:t xml:space="preserve"/>
      </w:r>
    </w:p>
    <w:p>
      <w:pPr>
        <w:pBdr>
          <w:left w:val="single" w:color="548235" w:sz="18"/>
        </w:pBdr>
        <w:shd w:fill="E2EFDA" w:color="auto" w:val="clear"/>
        <w:spacing w:after="120" w:before="60" w:line="260"/>
        <w:ind w:left="120" w:right="120"/>
        <w:jc w:val="both"/>
      </w:pPr>
      <w:r>
        <w:rPr>
          <w:rFonts w:ascii="Arial" w:cs="Arial" w:eastAsia="Arial" w:hAnsi="Arial"/>
          <w:b/>
          <w:bCs/>
          <w:i w:val="false"/>
          <w:iCs w:val="false"/>
          <w:color w:val="375623"/>
          <w:sz w:val="19"/>
          <w:szCs w:val="19"/>
        </w:rPr>
        <w:t xml:space="preserve">TIP.  </w:t>
      </w:r>
      <w:r>
        <w:rPr>
          <w:rFonts w:ascii="Arial" w:cs="Arial" w:eastAsia="Arial" w:hAnsi="Arial"/>
          <w:b w:val="false"/>
          <w:bCs w:val="false"/>
          <w:i w:val="false"/>
          <w:iCs w:val="false"/>
          <w:color w:val="000000"/>
          <w:sz w:val="19"/>
          <w:szCs w:val="19"/>
        </w:rPr>
        <w:t xml:space="preserve">La teoría son 30 minutos en tres bloques de diez. Todo lo demás es producción del equipo. Si un bloque se estira, el que se acorta es el taller, y entonces el Avance 1 se convierte en tarea para casa: exactamente lo que hay que evitar.</w:t>
      </w:r>
    </w:p>
    <w:p>
      <w:pPr>
        <w:pBdr>
          <w:top w:val="single" w:color="1F3864" w:sz="6"/>
          <w:bottom w:val="single" w:color="1F3864" w:sz="6"/>
        </w:pBdr>
        <w:spacing w:after="160" w:before="220"/>
        <w:jc w:val="center"/>
      </w:pPr>
      <w:r>
        <w:rPr>
          <w:rFonts w:ascii="Arial" w:cs="Arial" w:eastAsia="Arial" w:hAnsi="Arial"/>
          <w:b/>
          <w:bCs/>
          <w:i w:val="false"/>
          <w:iCs w:val="false"/>
          <w:color w:val="1F3864"/>
          <w:sz w:val="22"/>
          <w:szCs w:val="22"/>
        </w:rPr>
        <w:t xml:space="preserve">BLOQUE 1 · EL PROBLEMA INVESTIGABLE · 10 MINUTOS</w:t>
      </w:r>
    </w:p>
    <w:p>
      <w:pPr>
        <w:spacing w:after="130" w:before="260"/>
      </w:pPr>
      <w:r>
        <w:rPr>
          <w:rFonts w:ascii="Arial" w:cs="Arial" w:eastAsia="Arial" w:hAnsi="Arial"/>
          <w:b/>
          <w:bCs/>
          <w:i w:val="false"/>
          <w:iCs w:val="false"/>
          <w:color w:val="1F3864"/>
          <w:sz w:val="22"/>
          <w:szCs w:val="22"/>
        </w:rPr>
        <w:t xml:space="preserve">3. EL PRINCIPIO DEL ICEBERG</w:t>
      </w:r>
    </w:p>
    <w:p>
      <w:pPr>
        <w:spacing w:after="100" w:before="0" w:line="260"/>
        <w:jc w:val="both"/>
      </w:pPr>
      <w:r>
        <w:rPr>
          <w:rFonts w:ascii="Arial" w:cs="Arial" w:eastAsia="Arial" w:hAnsi="Arial"/>
          <w:b w:val="false"/>
          <w:bCs w:val="false"/>
          <w:i w:val="false"/>
          <w:iCs w:val="false"/>
          <w:color w:val="000000"/>
          <w:sz w:val="20"/>
          <w:szCs w:val="20"/>
        </w:rPr>
        <w:t xml:space="preserve">El gerente se alarma por lo visible: una caída del 15 % en las ventas de temporada, pérdida de participación, quejas de los distribuidores. Esos dolores financieros son síntomas, la punta del iceberg. El problema de investigación está en la masa sumergida: inconsistencia entre calidad y precio percibidos, un empaque superior de la competencia, un cambio en las actitudes del consumidor.</w:t>
      </w:r>
    </w:p>
    <w:p>
      <w:pPr>
        <w:pBdr>
          <w:left w:val="single" w:color="548235" w:sz="18"/>
        </w:pBdr>
        <w:shd w:fill="E2EFDA" w:color="auto" w:val="clear"/>
        <w:spacing w:after="120" w:before="60" w:line="260"/>
        <w:ind w:left="120" w:right="120"/>
        <w:jc w:val="both"/>
      </w:pPr>
      <w:r>
        <w:rPr>
          <w:rFonts w:ascii="Arial" w:cs="Arial" w:eastAsia="Arial" w:hAnsi="Arial"/>
          <w:b/>
          <w:bCs/>
          <w:i w:val="false"/>
          <w:iCs w:val="false"/>
          <w:color w:val="375623"/>
          <w:sz w:val="19"/>
          <w:szCs w:val="19"/>
        </w:rPr>
        <w:t xml:space="preserve">TIP.  </w:t>
      </w:r>
      <w:r>
        <w:rPr>
          <w:rFonts w:ascii="Arial" w:cs="Arial" w:eastAsia="Arial" w:hAnsi="Arial"/>
          <w:b w:val="false"/>
          <w:bCs w:val="false"/>
          <w:i w:val="false"/>
          <w:iCs w:val="false"/>
          <w:color w:val="000000"/>
          <w:sz w:val="19"/>
          <w:szCs w:val="19"/>
        </w:rPr>
        <w:t xml:space="preserve">Arranca pidiendo tres síntomas al aula y escríbelos sin corregir. Cuando alguien diga «les falta publicidad», detente ahí: eso ya no es un síntoma, es una solución supuesta. Esa confusión es el aprendizaje central del bloque y conviene que salga de la boca de un estudiante, no de la tuya.</w:t>
      </w:r>
    </w:p>
    <w:p>
      <w:pPr>
        <w:spacing w:after="130" w:before="260"/>
      </w:pPr>
      <w:r>
        <w:rPr>
          <w:rFonts w:ascii="Arial" w:cs="Arial" w:eastAsia="Arial" w:hAnsi="Arial"/>
          <w:b/>
          <w:bCs/>
          <w:i w:val="false"/>
          <w:iCs w:val="false"/>
          <w:color w:val="1F3864"/>
          <w:sz w:val="22"/>
          <w:szCs w:val="22"/>
        </w:rPr>
        <w:t xml:space="preserve">4. PDG FRENTE A PIM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Criterio</w:t>
            </w:r>
          </w:p>
        </w:tc>
        <w:tc>
          <w:tcPr>
            <w:tcW w:type="dxa" w:w="35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Problema de Decisión Gerencial (PDG)</w:t>
            </w:r>
          </w:p>
        </w:tc>
        <w:tc>
          <w:tcPr>
            <w:tcW w:type="dxa" w:w="35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Problema de Investigación de Mercados (PIM)</w:t>
            </w:r>
          </w:p>
        </w:tc>
      </w:tr>
      <w:tr>
        <w:tc>
          <w:tcPr>
            <w:tcW w:type="dxa" w:w="20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Orientación</w:t>
            </w:r>
          </w:p>
        </w:tc>
        <w:tc>
          <w:tcPr>
            <w:tcW w:type="dxa" w:w="3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A la ACCIÓN: ¿qué debe hacer el gerente? Se concentra en síntomas visibles.</w:t>
            </w:r>
          </w:p>
        </w:tc>
        <w:tc>
          <w:tcPr>
            <w:tcW w:type="dxa" w:w="3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A la INFORMACIÓN: ¿qué necesitamos saber? Se enfoca en causas subyacentes.</w:t>
            </w:r>
          </w:p>
        </w:tc>
      </w:tr>
      <w:tr>
        <w:tc>
          <w:tcPr>
            <w:tcW w:type="dxa" w:w="20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Pregunta típica del caso producto</w:t>
            </w:r>
          </w:p>
        </w:tc>
        <w:tc>
          <w:tcPr>
            <w:tcW w:type="dxa" w:w="35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¿Debemos cambiar el empaque actual por una propuesta biodegradable y ajustar el precio?</w:t>
            </w:r>
          </w:p>
        </w:tc>
        <w:tc>
          <w:tcPr>
            <w:tcW w:type="dxa" w:w="35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¿Cómo influye la valoración del empaque ecológico y la percepción de precio en la frecuencia de recompra?</w:t>
            </w:r>
          </w:p>
        </w:tc>
      </w:tr>
      <w:tr>
        <w:tc>
          <w:tcPr>
            <w:tcW w:type="dxa" w:w="20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Pregunta típica del caso servicio</w:t>
            </w:r>
          </w:p>
        </w:tc>
        <w:tc>
          <w:tcPr>
            <w:tcW w:type="dxa" w:w="3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¿Debemos ajustar el precio del menú, ampliar la carta o activar el delivery?</w:t>
            </w:r>
          </w:p>
        </w:tc>
        <w:tc>
          <w:tcPr>
            <w:tcW w:type="dxa" w:w="3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¿Cómo influyen la percepción del precio y la satisfacción con la rapidez de atención en la frecuencia de compra semanal?</w:t>
            </w:r>
          </w:p>
        </w:tc>
      </w:tr>
    </w:tbl>
    <w:p>
      <w:pPr>
        <w:spacing w:after="120"/>
      </w:pPr>
      <w:r>
        <w:rPr>
          <w:rFonts w:ascii="Arial" w:cs="Arial" w:eastAsia="Arial" w:hAnsi="Arial"/>
          <w:b w:val="false"/>
          <w:bCs w:val="false"/>
          <w:i w:val="false"/>
          <w:iCs w:val="false"/>
          <w:color w:val="000000"/>
          <w:sz w:val="20"/>
          <w:szCs w:val="20"/>
        </w:rPr>
        <w:t xml:space="preserve"/>
      </w:r>
    </w:p>
    <w:p>
      <w:pPr>
        <w:pBdr>
          <w:left w:val="single" w:color="548235" w:sz="18"/>
        </w:pBdr>
        <w:shd w:fill="E2EFDA" w:color="auto" w:val="clear"/>
        <w:spacing w:after="120" w:before="60" w:line="260"/>
        <w:ind w:left="120" w:right="120"/>
        <w:jc w:val="both"/>
      </w:pPr>
      <w:r>
        <w:rPr>
          <w:rFonts w:ascii="Arial" w:cs="Arial" w:eastAsia="Arial" w:hAnsi="Arial"/>
          <w:b/>
          <w:bCs/>
          <w:i w:val="false"/>
          <w:iCs w:val="false"/>
          <w:color w:val="375623"/>
          <w:sz w:val="19"/>
          <w:szCs w:val="19"/>
        </w:rPr>
        <w:t xml:space="preserve">TIP.  </w:t>
      </w:r>
      <w:r>
        <w:rPr>
          <w:rFonts w:ascii="Arial" w:cs="Arial" w:eastAsia="Arial" w:hAnsi="Arial"/>
          <w:b w:val="false"/>
          <w:bCs w:val="false"/>
          <w:i w:val="false"/>
          <w:iCs w:val="false"/>
          <w:color w:val="000000"/>
          <w:sz w:val="19"/>
          <w:szCs w:val="19"/>
        </w:rPr>
        <w:t xml:space="preserve">La prueba de un segundo: si el enunciado empieza con «¿debemos…?» es PDG; si empieza con «¿cómo influye…?», «¿cuál es el nivel de…?» o «¿qué factores explican…?», es PIM.</w:t>
      </w:r>
    </w:p>
    <w:p>
      <w:pPr>
        <w:spacing w:after="130" w:before="260"/>
      </w:pPr>
      <w:r>
        <w:rPr>
          <w:rFonts w:ascii="Arial" w:cs="Arial" w:eastAsia="Arial" w:hAnsi="Arial"/>
          <w:b/>
          <w:bCs/>
          <w:i w:val="false"/>
          <w:iCs w:val="false"/>
          <w:color w:val="1F3864"/>
          <w:sz w:val="22"/>
          <w:szCs w:val="22"/>
        </w:rPr>
        <w:t xml:space="preserve">5. LOS CINCO PILARES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600"/>
      </w:tblGrid>
      <w:tr>
        <w:trPr>
          <w:tblHeader/>
        </w:trPr>
        <w:tc>
          <w:tcPr>
            <w:tcW w:type="dxa" w:w="12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Pilar</w:t>
            </w:r>
          </w:p>
        </w:tc>
        <w:tc>
          <w:tcPr>
            <w:tcW w:type="dxa" w:w="26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Qué responde</w:t>
            </w:r>
          </w:p>
        </w:tc>
        <w:tc>
          <w:tcPr>
            <w:tcW w:type="dxa" w:w="26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Caso producto · Misti Cacao</w:t>
            </w:r>
          </w:p>
        </w:tc>
        <w:tc>
          <w:tcPr>
            <w:tcW w:type="dxa" w:w="26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Caso servicio · FreshBreak</w:t>
            </w:r>
          </w:p>
        </w:tc>
      </w:tr>
      <w:tr>
        <w:tc>
          <w:tcPr>
            <w:tcW w:type="dxa" w:w="12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1. ¿Qué medir?</w:t>
            </w:r>
          </w:p>
        </w:tc>
        <w:tc>
          <w:tcPr>
            <w:tcW w:type="dxa" w:w="2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Las variables de marketing que se investigarán</w:t>
            </w:r>
          </w:p>
        </w:tc>
        <w:tc>
          <w:tcPr>
            <w:tcW w:type="dxa" w:w="2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Importancia del empaque ecológico, percepción de precio y frecuencia de recompra</w:t>
            </w:r>
          </w:p>
        </w:tc>
        <w:tc>
          <w:tcPr>
            <w:tcW w:type="dxa" w:w="2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Percepción del precio, satisfacción con la rapidez de atención y frecuencia de compra semanal</w:t>
            </w:r>
          </w:p>
        </w:tc>
      </w:tr>
      <w:tr>
        <w:tc>
          <w:tcPr>
            <w:tcW w:type="dxa" w:w="12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2. ¿De quién?</w:t>
            </w:r>
          </w:p>
        </w:tc>
        <w:tc>
          <w:tcPr>
            <w:tcW w:type="dxa" w:w="2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 unidad de análisis</w:t>
            </w:r>
          </w:p>
        </w:tc>
        <w:tc>
          <w:tcPr>
            <w:tcW w:type="dxa" w:w="2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Consumidores de chocolate premium, hombres y mujeres de 18 a 45 años</w:t>
            </w:r>
          </w:p>
        </w:tc>
        <w:tc>
          <w:tcPr>
            <w:tcW w:type="dxa" w:w="2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Estudiantes matriculados de 18 a 25 años</w:t>
            </w:r>
          </w:p>
        </w:tc>
      </w:tr>
      <w:tr>
        <w:tc>
          <w:tcPr>
            <w:tcW w:type="dxa" w:w="12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3. ¿Dónde?</w:t>
            </w:r>
          </w:p>
        </w:tc>
        <w:tc>
          <w:tcPr>
            <w:tcW w:type="dxa" w:w="2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El ámbito geográfico</w:t>
            </w:r>
          </w:p>
        </w:tc>
        <w:tc>
          <w:tcPr>
            <w:tcW w:type="dxa" w:w="2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Ciudad de Arequipa</w:t>
            </w:r>
          </w:p>
        </w:tc>
        <w:tc>
          <w:tcPr>
            <w:tcW w:type="dxa" w:w="2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Campus y alrededores, ciudad de Arequipa</w:t>
            </w:r>
          </w:p>
        </w:tc>
      </w:tr>
      <w:tr>
        <w:tc>
          <w:tcPr>
            <w:tcW w:type="dxa" w:w="12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4. ¿Cuándo?</w:t>
            </w:r>
          </w:p>
        </w:tc>
        <w:tc>
          <w:tcPr>
            <w:tcW w:type="dxa" w:w="2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 delimitación temporal</w:t>
            </w:r>
          </w:p>
        </w:tc>
        <w:tc>
          <w:tcPr>
            <w:tcW w:type="dxa" w:w="2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Segundo semestre de 2026</w:t>
            </w:r>
          </w:p>
        </w:tc>
        <w:tc>
          <w:tcPr>
            <w:tcW w:type="dxa" w:w="2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Semestre académico 2026-II</w:t>
            </w:r>
          </w:p>
        </w:tc>
      </w:tr>
      <w:tr>
        <w:tc>
          <w:tcPr>
            <w:tcW w:type="dxa" w:w="12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5. ¿Para qué decisión?</w:t>
            </w:r>
          </w:p>
        </w:tc>
        <w:tc>
          <w:tcPr>
            <w:tcW w:type="dxa" w:w="2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 acción que guiarán los datos</w:t>
            </w:r>
          </w:p>
        </w:tc>
        <w:tc>
          <w:tcPr>
            <w:tcW w:type="dxa" w:w="2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Evaluar la viabilidad del cambio a empaque biodegradable</w:t>
            </w:r>
          </w:p>
        </w:tc>
        <w:tc>
          <w:tcPr>
            <w:tcW w:type="dxa" w:w="2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Decidir qué acción de marketing recupera la frecuencia de compra</w:t>
            </w:r>
          </w:p>
        </w:tc>
      </w:tr>
    </w:tbl>
    <w:p>
      <w:pPr>
        <w:spacing w:after="120"/>
      </w:pPr>
      <w:r>
        <w:rPr>
          <w:rFonts w:ascii="Arial" w:cs="Arial" w:eastAsia="Arial" w:hAnsi="Arial"/>
          <w:b w:val="false"/>
          <w:bCs w:val="false"/>
          <w:i w:val="false"/>
          <w:iCs w:val="false"/>
          <w:color w:val="000000"/>
          <w:sz w:val="20"/>
          <w:szCs w:val="20"/>
        </w:rPr>
        <w:t xml:space="preserve"/>
      </w:r>
    </w:p>
    <w:p>
      <w:pPr>
        <w:pBdr>
          <w:left w:val="single" w:color="548235" w:sz="18"/>
        </w:pBdr>
        <w:shd w:fill="E2EFDA" w:color="auto" w:val="clear"/>
        <w:spacing w:after="120" w:before="60" w:line="260"/>
        <w:ind w:left="120" w:right="120"/>
        <w:jc w:val="both"/>
      </w:pPr>
      <w:r>
        <w:rPr>
          <w:rFonts w:ascii="Arial" w:cs="Arial" w:eastAsia="Arial" w:hAnsi="Arial"/>
          <w:b/>
          <w:bCs/>
          <w:i w:val="false"/>
          <w:iCs w:val="false"/>
          <w:color w:val="375623"/>
          <w:sz w:val="19"/>
          <w:szCs w:val="19"/>
        </w:rPr>
        <w:t xml:space="preserve">TIP.  </w:t>
      </w:r>
      <w:r>
        <w:rPr>
          <w:rFonts w:ascii="Arial" w:cs="Arial" w:eastAsia="Arial" w:hAnsi="Arial"/>
          <w:b w:val="false"/>
          <w:bCs w:val="false"/>
          <w:i w:val="false"/>
          <w:iCs w:val="false"/>
          <w:color w:val="000000"/>
          <w:sz w:val="19"/>
          <w:szCs w:val="19"/>
        </w:rPr>
        <w:t xml:space="preserve">El pilar 5 no se redacta dentro del objetivo: vive en el PIM y en la justificación. Es el error de redacción más frecuente y conviene anunciarlo antes de que aparezca.</w:t>
      </w:r>
    </w:p>
    <w:p>
      <w:pPr>
        <w:spacing w:after="130" w:before="260"/>
      </w:pPr>
      <w:r>
        <w:rPr>
          <w:rFonts w:ascii="Arial" w:cs="Arial" w:eastAsia="Arial" w:hAnsi="Arial"/>
          <w:b/>
          <w:bCs/>
          <w:i w:val="false"/>
          <w:iCs w:val="false"/>
          <w:color w:val="1F3864"/>
          <w:sz w:val="22"/>
          <w:szCs w:val="22"/>
        </w:rPr>
        <w:t xml:space="preserve">6. LOS DOS PIM RESUELTOS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rPr>
          <w:tblHeader/>
        </w:trPr>
        <w:tc>
          <w:tcPr>
            <w:tcW w:type="dxa" w:w="16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Caso</w:t>
            </w:r>
          </w:p>
        </w:tc>
        <w:tc>
          <w:tcPr>
            <w:tcW w:type="dxa" w:w="74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PIM formulado como pregunta medible</w:t>
            </w:r>
          </w:p>
        </w:tc>
      </w:tr>
      <w:tr>
        <w:tc>
          <w:tcPr>
            <w:tcW w:type="dxa" w:w="1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Producto · Misti Cacao</w:t>
            </w:r>
          </w:p>
        </w:tc>
        <w:tc>
          <w:tcPr>
            <w:tcW w:type="dxa" w:w="74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¿Cómo influye la importancia asignada al empaque ecológico y la percepción del precio en la frecuencia de recompra de los consumidores de chocolate premium de 18 a 45 años en la ciudad de Arequipa durante el segundo semestre de 2026?</w:t>
            </w:r>
          </w:p>
        </w:tc>
      </w:tr>
      <w:tr>
        <w:tc>
          <w:tcPr>
            <w:tcW w:type="dxa" w:w="1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Servicio · FreshBreak</w:t>
            </w:r>
          </w:p>
        </w:tc>
        <w:tc>
          <w:tcPr>
            <w:tcW w:type="dxa" w:w="74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¿Cómo influyen la percepción del precio y la satisfacción con la rapidez de atención en la frecuencia de compra semanal de los estudiantes de 18 a 25 años en la cafetería FreshBreak, en la ciudad de Arequipa, durante el semestre 2026-II?</w:t>
            </w:r>
          </w:p>
        </w:tc>
      </w:tr>
    </w:tbl>
    <w:p>
      <w:pPr>
        <w:spacing w:after="120"/>
      </w:pPr>
      <w:r>
        <w:rPr>
          <w:rFonts w:ascii="Arial" w:cs="Arial" w:eastAsia="Arial" w:hAnsi="Arial"/>
          <w:b w:val="false"/>
          <w:bCs w:val="false"/>
          <w:i w:val="false"/>
          <w:iCs w:val="false"/>
          <w:color w:val="000000"/>
          <w:sz w:val="20"/>
          <w:szCs w:val="20"/>
        </w:rPr>
        <w:t xml:space="preserve"/>
      </w:r>
    </w:p>
    <w:p>
      <w:pPr>
        <w:pBdr>
          <w:left w:val="single" w:color="548235" w:sz="18"/>
        </w:pBdr>
        <w:shd w:fill="E2EFDA" w:color="auto" w:val="clear"/>
        <w:spacing w:after="120" w:before="60" w:line="260"/>
        <w:ind w:left="120" w:right="120"/>
        <w:jc w:val="both"/>
      </w:pPr>
      <w:r>
        <w:rPr>
          <w:rFonts w:ascii="Arial" w:cs="Arial" w:eastAsia="Arial" w:hAnsi="Arial"/>
          <w:b/>
          <w:bCs/>
          <w:i w:val="false"/>
          <w:iCs w:val="false"/>
          <w:color w:val="375623"/>
          <w:sz w:val="19"/>
          <w:szCs w:val="19"/>
        </w:rPr>
        <w:t xml:space="preserve">TIP.  </w:t>
      </w:r>
      <w:r>
        <w:rPr>
          <w:rFonts w:ascii="Arial" w:cs="Arial" w:eastAsia="Arial" w:hAnsi="Arial"/>
          <w:b w:val="false"/>
          <w:bCs w:val="false"/>
          <w:i w:val="false"/>
          <w:iCs w:val="false"/>
          <w:color w:val="000000"/>
          <w:sz w:val="19"/>
          <w:szCs w:val="19"/>
        </w:rPr>
        <w:t xml:space="preserve">Escribe los dos PIM en la pizarra uno debajo del otro y pide al aula que señale los cinco pilares en cada uno. El contraste enseña algo que un solo caso no enseña: en el producto se investiga un atributo físico, en el servicio un atributo de experiencia, pero la estructura de la pregunta es idéntica.</w:t>
      </w:r>
    </w:p>
    <w:p>
      <w:pPr>
        <w:pBdr>
          <w:top w:val="single" w:color="1F3864" w:sz="6"/>
          <w:bottom w:val="single" w:color="1F3864" w:sz="6"/>
        </w:pBdr>
        <w:spacing w:after="160" w:before="220"/>
        <w:jc w:val="center"/>
      </w:pPr>
      <w:r>
        <w:rPr>
          <w:rFonts w:ascii="Arial" w:cs="Arial" w:eastAsia="Arial" w:hAnsi="Arial"/>
          <w:b/>
          <w:bCs/>
          <w:i w:val="false"/>
          <w:iCs w:val="false"/>
          <w:color w:val="1F3864"/>
          <w:sz w:val="22"/>
          <w:szCs w:val="22"/>
        </w:rPr>
        <w:t xml:space="preserve">BLOQUE 2 · OBJETIVOS CON VERBO DE DATOS · 10 MINUTOS</w:t>
      </w:r>
    </w:p>
    <w:p>
      <w:pPr>
        <w:spacing w:after="130" w:before="260"/>
      </w:pPr>
      <w:r>
        <w:rPr>
          <w:rFonts w:ascii="Arial" w:cs="Arial" w:eastAsia="Arial" w:hAnsi="Arial"/>
          <w:b/>
          <w:bCs/>
          <w:i w:val="false"/>
          <w:iCs w:val="false"/>
          <w:color w:val="1F3864"/>
          <w:sz w:val="22"/>
          <w:szCs w:val="22"/>
        </w:rPr>
        <w:t xml:space="preserve">7. LA REGLA DEL INFINITIVO COGNITIVO</w:t>
      </w:r>
    </w:p>
    <w:p>
      <w:pPr>
        <w:spacing w:after="100" w:before="0" w:line="260"/>
        <w:jc w:val="both"/>
      </w:pPr>
      <w:r>
        <w:rPr>
          <w:rFonts w:ascii="Arial" w:cs="Arial" w:eastAsia="Arial" w:hAnsi="Arial"/>
          <w:b w:val="false"/>
          <w:bCs w:val="false"/>
          <w:i w:val="false"/>
          <w:iCs w:val="false"/>
          <w:color w:val="000000"/>
          <w:sz w:val="20"/>
          <w:szCs w:val="20"/>
        </w:rPr>
        <w:t xml:space="preserve">Un objetivo de investigación de mercados comienza obligatoriamente con un único verbo en infinitivo que represente una acción cognitiva o de datos, y nunca con un verbo de gestión comercial.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Verbos de investigación (correctos)</w:t>
            </w:r>
          </w:p>
        </w:tc>
        <w:tc>
          <w:tcPr>
            <w:tcW w:type="dxa" w:w="45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Verbos de acción comercial (incorrectos)</w:t>
            </w:r>
          </w:p>
        </w:tc>
      </w:tr>
      <w:tr>
        <w:tc>
          <w:tcPr>
            <w:tcW w:type="dxa" w:w="4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Determinar, identificar, medir, comparar</w:t>
            </w:r>
          </w:p>
        </w:tc>
        <w:tc>
          <w:tcPr>
            <w:tcW w:type="dxa" w:w="4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Vender, lanzar, incrementar, diseñar</w:t>
            </w:r>
          </w:p>
        </w:tc>
      </w:tr>
      <w:tr>
        <w:tc>
          <w:tcPr>
            <w:tcW w:type="dxa" w:w="45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Establecer, describir, evaluar, analizar</w:t>
            </w:r>
          </w:p>
        </w:tc>
        <w:tc>
          <w:tcPr>
            <w:tcW w:type="dxa" w:w="45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Mejorar, posicionar, promocionar, bajar</w:t>
            </w:r>
          </w:p>
        </w:tc>
      </w:tr>
      <w:tr>
        <w:tc>
          <w:tcPr>
            <w:tcW w:type="dxa" w:w="4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Generan datos, información y conocimiento</w:t>
            </w:r>
          </w:p>
        </w:tc>
        <w:tc>
          <w:tcPr>
            <w:tcW w:type="dxa" w:w="4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Ejecutan decisiones operativas y de ventas</w:t>
            </w:r>
          </w:p>
        </w:tc>
      </w:tr>
    </w:tbl>
    <w:p>
      <w:pPr>
        <w:spacing w:after="120"/>
      </w:pPr>
      <w:r>
        <w:rPr>
          <w:rFonts w:ascii="Arial" w:cs="Arial" w:eastAsia="Arial" w:hAnsi="Arial"/>
          <w:b w:val="false"/>
          <w:bCs w:val="false"/>
          <w:i w:val="false"/>
          <w:iCs w:val="false"/>
          <w:color w:val="000000"/>
          <w:sz w:val="20"/>
          <w:szCs w:val="20"/>
        </w:rPr>
        <w:t xml:space="preserve"/>
      </w:r>
    </w:p>
    <w:p>
      <w:pPr>
        <w:pBdr>
          <w:left w:val="single" w:color="548235" w:sz="18"/>
        </w:pBdr>
        <w:shd w:fill="E2EFDA" w:color="auto" w:val="clear"/>
        <w:spacing w:after="120" w:before="60" w:line="260"/>
        <w:ind w:left="120" w:right="120"/>
        <w:jc w:val="both"/>
      </w:pPr>
      <w:r>
        <w:rPr>
          <w:rFonts w:ascii="Arial" w:cs="Arial" w:eastAsia="Arial" w:hAnsi="Arial"/>
          <w:b/>
          <w:bCs/>
          <w:i w:val="false"/>
          <w:iCs w:val="false"/>
          <w:color w:val="375623"/>
          <w:sz w:val="19"/>
          <w:szCs w:val="19"/>
        </w:rPr>
        <w:t xml:space="preserve">TIP.  </w:t>
      </w:r>
      <w:r>
        <w:rPr>
          <w:rFonts w:ascii="Arial" w:cs="Arial" w:eastAsia="Arial" w:hAnsi="Arial"/>
          <w:b w:val="false"/>
          <w:bCs w:val="false"/>
          <w:i w:val="false"/>
          <w:iCs w:val="false"/>
          <w:color w:val="000000"/>
          <w:sz w:val="19"/>
          <w:szCs w:val="19"/>
        </w:rPr>
        <w:t xml:space="preserve">La regla del espejo: el objetivo general debe poder obtenerse del PIM cambiando «¿cómo influye…?» por «determinar la influencia de…». Si al hacer esa sustitución el objetivo no calza, uno de los dos está mal redactado. Hazlo en vivo con los dos casos, toma quince segundos y se les queda.</w:t>
      </w:r>
    </w:p>
    <w:p>
      <w:pPr>
        <w:spacing w:after="130" w:before="260"/>
      </w:pPr>
      <w:r>
        <w:rPr>
          <w:rFonts w:ascii="Arial" w:cs="Arial" w:eastAsia="Arial" w:hAnsi="Arial"/>
          <w:b/>
          <w:bCs/>
          <w:i w:val="false"/>
          <w:iCs w:val="false"/>
          <w:color w:val="1F3864"/>
          <w:sz w:val="22"/>
          <w:szCs w:val="22"/>
        </w:rPr>
        <w:t xml:space="preserve">8. LOS DOS MAPAS DE OBJETIVOS RESUELTOS</w:t>
      </w:r>
    </w:p>
    <w:p>
      <w:pPr>
        <w:spacing w:after="60" w:before="0" w:line="260"/>
        <w:jc w:val="both"/>
      </w:pPr>
      <w:r>
        <w:rPr>
          <w:rFonts w:ascii="Arial" w:cs="Arial" w:eastAsia="Arial" w:hAnsi="Arial"/>
          <w:b/>
          <w:bCs/>
          <w:i w:val="false"/>
          <w:iCs w:val="false"/>
          <w:color w:val="000000"/>
          <w:sz w:val="20"/>
          <w:szCs w:val="20"/>
        </w:rPr>
        <w:t xml:space="preserve">Caso producto · Misti Cacao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Nivel</w:t>
            </w:r>
          </w:p>
        </w:tc>
        <w:tc>
          <w:tcPr>
            <w:tcW w:type="dxa" w:w="72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Redacción</w:t>
            </w:r>
          </w:p>
        </w:tc>
      </w:tr>
      <w:tr>
        <w:tc>
          <w:tcPr>
            <w:tcW w:type="dxa" w:w="1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Objetivo general</w:t>
            </w:r>
          </w:p>
        </w:tc>
        <w:tc>
          <w:tcPr>
            <w:tcW w:type="dxa" w:w="72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Determinar la influencia de la importancia asignada al empaque ecológico y de la percepción de precio sobre la frecuencia de recompra de los consumidores de chocolate premium de la marca Misti Cacao en la ciudad de Arequipa en el año 2026.</w:t>
            </w:r>
          </w:p>
        </w:tc>
      </w:tr>
      <w:tr>
        <w:tc>
          <w:tcPr>
            <w:tcW w:type="dxa" w:w="1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OE1</w:t>
            </w:r>
          </w:p>
        </w:tc>
        <w:tc>
          <w:tcPr>
            <w:tcW w:type="dxa" w:w="72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Identificar los hábitos de compra y la frecuencia de recompra mensual de chocolates premium en el mercado objetivo.</w:t>
            </w:r>
          </w:p>
        </w:tc>
      </w:tr>
      <w:tr>
        <w:tc>
          <w:tcPr>
            <w:tcW w:type="dxa" w:w="1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OE2</w:t>
            </w:r>
          </w:p>
        </w:tc>
        <w:tc>
          <w:tcPr>
            <w:tcW w:type="dxa" w:w="72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Medir la importancia relativa que el público objetivo asigna a la biodegradabilidad del empaque.</w:t>
            </w:r>
          </w:p>
        </w:tc>
      </w:tr>
      <w:tr>
        <w:tc>
          <w:tcPr>
            <w:tcW w:type="dxa" w:w="1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OE3</w:t>
            </w:r>
          </w:p>
        </w:tc>
        <w:tc>
          <w:tcPr>
            <w:tcW w:type="dxa" w:w="72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Evaluar la percepción de precio y la sensibilidad frente a un incremento justificado por el cambio de empaque.</w:t>
            </w:r>
          </w:p>
        </w:tc>
      </w:tr>
      <w:tr>
        <w:tc>
          <w:tcPr>
            <w:tcW w:type="dxa" w:w="1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OE4</w:t>
            </w:r>
          </w:p>
        </w:tc>
        <w:tc>
          <w:tcPr>
            <w:tcW w:type="dxa" w:w="72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Comparar la intención de recompra entre el segmento de alta y el de baja conciencia ambiental.</w:t>
            </w:r>
          </w:p>
        </w:tc>
      </w:tr>
    </w:tbl>
    <w:p>
      <w:pPr>
        <w:spacing w:after="120"/>
      </w:pPr>
      <w:r>
        <w:rPr>
          <w:rFonts w:ascii="Arial" w:cs="Arial" w:eastAsia="Arial" w:hAnsi="Arial"/>
          <w:b w:val="false"/>
          <w:bCs w:val="false"/>
          <w:i w:val="false"/>
          <w:iCs w:val="false"/>
          <w:color w:val="000000"/>
          <w:sz w:val="20"/>
          <w:szCs w:val="20"/>
        </w:rPr>
        <w:t xml:space="preserve"/>
      </w:r>
    </w:p>
    <w:p>
      <w:pPr>
        <w:spacing w:after="60" w:before="0" w:line="260"/>
        <w:jc w:val="both"/>
      </w:pPr>
      <w:r>
        <w:rPr>
          <w:rFonts w:ascii="Arial" w:cs="Arial" w:eastAsia="Arial" w:hAnsi="Arial"/>
          <w:b/>
          <w:bCs/>
          <w:i w:val="false"/>
          <w:iCs w:val="false"/>
          <w:color w:val="000000"/>
          <w:sz w:val="20"/>
          <w:szCs w:val="20"/>
        </w:rPr>
        <w:t xml:space="preserve">Caso servicio · FreshBreak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Nivel</w:t>
            </w:r>
          </w:p>
        </w:tc>
        <w:tc>
          <w:tcPr>
            <w:tcW w:type="dxa" w:w="72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Redacción</w:t>
            </w:r>
          </w:p>
        </w:tc>
      </w:tr>
      <w:tr>
        <w:tc>
          <w:tcPr>
            <w:tcW w:type="dxa" w:w="1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Objetivo general</w:t>
            </w:r>
          </w:p>
        </w:tc>
        <w:tc>
          <w:tcPr>
            <w:tcW w:type="dxa" w:w="72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Determinar la influencia de la percepción del precio y de la satisfacción con la rapidez de atención sobre la frecuencia de compra semanal de los estudiantes de 18 a 25 años en la cafetería FreshBreak durante el semestre 2026-II.</w:t>
            </w:r>
          </w:p>
        </w:tc>
      </w:tr>
      <w:tr>
        <w:tc>
          <w:tcPr>
            <w:tcW w:type="dxa" w:w="1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OE1</w:t>
            </w:r>
          </w:p>
        </w:tc>
        <w:tc>
          <w:tcPr>
            <w:tcW w:type="dxa" w:w="72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Identificar los hábitos de consumo, el momento de compra y el gasto promedio semanal del estudiante.</w:t>
            </w:r>
          </w:p>
        </w:tc>
      </w:tr>
      <w:tr>
        <w:tc>
          <w:tcPr>
            <w:tcW w:type="dxa" w:w="1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OE2</w:t>
            </w:r>
          </w:p>
        </w:tc>
        <w:tc>
          <w:tcPr>
            <w:tcW w:type="dxa" w:w="72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Medir la percepción del precio del menú frente a las alternativas cercanas al campus.</w:t>
            </w:r>
          </w:p>
        </w:tc>
      </w:tr>
      <w:tr>
        <w:tc>
          <w:tcPr>
            <w:tcW w:type="dxa" w:w="1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OE3</w:t>
            </w:r>
          </w:p>
        </w:tc>
        <w:tc>
          <w:tcPr>
            <w:tcW w:type="dxa" w:w="72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Evaluar la satisfacción con los atributos del servicio: rapidez, trato y variedad de la carta.</w:t>
            </w:r>
          </w:p>
        </w:tc>
      </w:tr>
      <w:tr>
        <w:tc>
          <w:tcPr>
            <w:tcW w:type="dxa" w:w="18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OE4</w:t>
            </w:r>
          </w:p>
        </w:tc>
        <w:tc>
          <w:tcPr>
            <w:tcW w:type="dxa" w:w="72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Comparar la frecuencia de compra entre quienes consumen en el local y quienes usan el delivery.</w:t>
            </w:r>
          </w:p>
        </w:tc>
      </w:tr>
    </w:tbl>
    <w:p>
      <w:pPr>
        <w:pBdr>
          <w:top w:val="single" w:color="1F3864" w:sz="6"/>
          <w:bottom w:val="single" w:color="1F3864" w:sz="6"/>
        </w:pBdr>
        <w:spacing w:after="160" w:before="220"/>
        <w:jc w:val="center"/>
      </w:pPr>
      <w:r>
        <w:rPr>
          <w:rFonts w:ascii="Arial" w:cs="Arial" w:eastAsia="Arial" w:hAnsi="Arial"/>
          <w:b/>
          <w:bCs/>
          <w:i w:val="false"/>
          <w:iCs w:val="false"/>
          <w:color w:val="1F3864"/>
          <w:sz w:val="22"/>
          <w:szCs w:val="22"/>
        </w:rPr>
        <w:t xml:space="preserve">BLOQUE 3 · VARIABLE, INDICADOR Y ESCALA · 10 MINUTOS</w:t>
      </w:r>
    </w:p>
    <w:p>
      <w:pPr>
        <w:spacing w:after="130" w:before="260"/>
      </w:pPr>
      <w:r>
        <w:rPr>
          <w:rFonts w:ascii="Arial" w:cs="Arial" w:eastAsia="Arial" w:hAnsi="Arial"/>
          <w:b/>
          <w:bCs/>
          <w:i w:val="false"/>
          <w:iCs w:val="false"/>
          <w:color w:val="1F3864"/>
          <w:sz w:val="22"/>
          <w:szCs w:val="22"/>
        </w:rPr>
        <w:t xml:space="preserve">9. LA CADENA DE OPERACIONALIZACIÓN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00"/>
      </w:tblGrid>
      <w:tr>
        <w:trPr>
          <w:tblHeader/>
        </w:trPr>
        <w:tc>
          <w:tcPr>
            <w:tcW w:type="dxa" w:w="19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Nivel</w:t>
            </w:r>
          </w:p>
        </w:tc>
        <w:tc>
          <w:tcPr>
            <w:tcW w:type="dxa" w:w="35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Qué es</w:t>
            </w:r>
          </w:p>
        </w:tc>
        <w:tc>
          <w:tcPr>
            <w:tcW w:type="dxa" w:w="36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Ejemplo</w:t>
            </w:r>
          </w:p>
        </w:tc>
      </w:tr>
      <w:tr>
        <w:tc>
          <w:tcPr>
            <w:tcW w:type="dxa" w:w="19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1. Variable de marketing</w:t>
            </w:r>
          </w:p>
        </w:tc>
        <w:tc>
          <w:tcPr>
            <w:tcW w:type="dxa" w:w="3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El constructo abstracto que se desea medir</w:t>
            </w:r>
          </w:p>
        </w:tc>
        <w:tc>
          <w:tcPr>
            <w:tcW w:type="dxa" w:w="3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 percepción del precio</w:t>
            </w:r>
          </w:p>
        </w:tc>
      </w:tr>
      <w:tr>
        <w:tc>
          <w:tcPr>
            <w:tcW w:type="dxa" w:w="19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2. Indicador o pregunta de campo</w:t>
            </w:r>
          </w:p>
        </w:tc>
        <w:tc>
          <w:tcPr>
            <w:tcW w:type="dxa" w:w="35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 manifestación observable que se registrará en el cuestionario</w:t>
            </w:r>
          </w:p>
        </w:tc>
        <w:tc>
          <w:tcPr>
            <w:tcW w:type="dxa" w:w="3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«Considero que el precio actual de las barras Misti Cacao es…»</w:t>
            </w:r>
          </w:p>
        </w:tc>
      </w:tr>
      <w:tr>
        <w:tc>
          <w:tcPr>
            <w:tcW w:type="dxa" w:w="19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3. Escala o nivel de medición</w:t>
            </w:r>
          </w:p>
        </w:tc>
        <w:tc>
          <w:tcPr>
            <w:tcW w:type="dxa" w:w="3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 regla bajo la que se registran y codifican las respuestas</w:t>
            </w:r>
          </w:p>
        </w:tc>
        <w:tc>
          <w:tcPr>
            <w:tcW w:type="dxa" w:w="3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Diferencial semántico de 1 a 7: muy barato a muy caro</w:t>
            </w:r>
          </w:p>
        </w:tc>
      </w:tr>
    </w:tbl>
    <w:p>
      <w:pPr>
        <w:spacing w:after="120"/>
      </w:pPr>
      <w:r>
        <w:rPr>
          <w:rFonts w:ascii="Arial" w:cs="Arial" w:eastAsia="Arial" w:hAnsi="Arial"/>
          <w:b w:val="false"/>
          <w:bCs w:val="false"/>
          <w:i w:val="false"/>
          <w:iCs w:val="false"/>
          <w:color w:val="000000"/>
          <w:sz w:val="20"/>
          <w:szCs w:val="20"/>
        </w:rPr>
        <w:t xml:space="preserve"/>
      </w:r>
    </w:p>
    <w:p>
      <w:pPr>
        <w:pBdr>
          <w:left w:val="single" w:color="548235" w:sz="18"/>
        </w:pBdr>
        <w:shd w:fill="E2EFDA" w:color="auto" w:val="clear"/>
        <w:spacing w:after="120" w:before="60" w:line="260"/>
        <w:ind w:left="120" w:right="120"/>
        <w:jc w:val="both"/>
      </w:pPr>
      <w:r>
        <w:rPr>
          <w:rFonts w:ascii="Arial" w:cs="Arial" w:eastAsia="Arial" w:hAnsi="Arial"/>
          <w:b/>
          <w:bCs/>
          <w:i w:val="false"/>
          <w:iCs w:val="false"/>
          <w:color w:val="375623"/>
          <w:sz w:val="19"/>
          <w:szCs w:val="19"/>
        </w:rPr>
        <w:t xml:space="preserve">TIP.  </w:t>
      </w:r>
      <w:r>
        <w:rPr>
          <w:rFonts w:ascii="Arial" w:cs="Arial" w:eastAsia="Arial" w:hAnsi="Arial"/>
          <w:b w:val="false"/>
          <w:bCs w:val="false"/>
          <w:i w:val="false"/>
          <w:iCs w:val="false"/>
          <w:color w:val="000000"/>
          <w:sz w:val="19"/>
          <w:szCs w:val="19"/>
        </w:rPr>
        <w:t xml:space="preserve">La pregunta que desatasca a un equipo: «¿qué te respondería exactamente un encuestado a eso?». Si el equipo no puede imaginar la respuesta, el indicador todavía no está operacionalizado. Es más rápido que explicarles la definición otra vez.</w:t>
      </w:r>
    </w:p>
    <w:p>
      <w:pPr>
        <w:spacing w:after="130" w:before="260"/>
      </w:pPr>
      <w:r>
        <w:rPr>
          <w:rFonts w:ascii="Arial" w:cs="Arial" w:eastAsia="Arial" w:hAnsi="Arial"/>
          <w:b/>
          <w:bCs/>
          <w:i w:val="false"/>
          <w:iCs w:val="false"/>
          <w:color w:val="1F3864"/>
          <w:sz w:val="22"/>
          <w:szCs w:val="22"/>
        </w:rPr>
        <w:t xml:space="preserve">10. LOS CUATRO NIVELES DE MEDICIÓN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00"/>
      </w:tblGrid>
      <w:tr>
        <w:trPr>
          <w:tblHeader/>
        </w:trPr>
        <w:tc>
          <w:tcPr>
            <w:tcW w:type="dxa" w:w="15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Escala</w:t>
            </w:r>
          </w:p>
        </w:tc>
        <w:tc>
          <w:tcPr>
            <w:tcW w:type="dxa" w:w="36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Qué permite</w:t>
            </w:r>
          </w:p>
        </w:tc>
        <w:tc>
          <w:tcPr>
            <w:tcW w:type="dxa" w:w="39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Ejemplos de los dos casos</w:t>
            </w:r>
          </w:p>
        </w:tc>
      </w:tr>
      <w:tr>
        <w:tc>
          <w:tcPr>
            <w:tcW w:type="dxa" w:w="1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Nominal</w:t>
            </w:r>
          </w:p>
        </w:tc>
        <w:tc>
          <w:tcPr>
            <w:tcW w:type="dxa" w:w="3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Clasifica en categorías mutuamente excluyentes, sin orden</w:t>
            </w:r>
          </w:p>
        </w:tc>
        <w:tc>
          <w:tcPr>
            <w:tcW w:type="dxa" w:w="39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Género; canal de consumo: local, delivery o para llevar</w:t>
            </w:r>
          </w:p>
        </w:tc>
      </w:tr>
      <w:tr>
        <w:tc>
          <w:tcPr>
            <w:tcW w:type="dxa" w:w="15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Ordinal</w:t>
            </w:r>
          </w:p>
        </w:tc>
        <w:tc>
          <w:tcPr>
            <w:tcW w:type="dxa" w:w="3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Establece orden o jerarquía, sin distancia uniforme entre categorías</w:t>
            </w:r>
          </w:p>
        </w:tc>
        <w:tc>
          <w:tcPr>
            <w:tcW w:type="dxa" w:w="39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Frecuencia declarada: nunca, ocasionalmente, frecuentemente; nivel de estudios</w:t>
            </w:r>
          </w:p>
        </w:tc>
      </w:tr>
      <w:tr>
        <w:tc>
          <w:tcPr>
            <w:tcW w:type="dxa" w:w="1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Intervalo</w:t>
            </w:r>
          </w:p>
        </w:tc>
        <w:tc>
          <w:tcPr>
            <w:tcW w:type="dxa" w:w="3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Distancias idénticas entre puntos y cero arbitrario. Formato por excelencia de las escalas actitudinales</w:t>
            </w:r>
          </w:p>
        </w:tc>
        <w:tc>
          <w:tcPr>
            <w:tcW w:type="dxa" w:w="39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Likert de 1 a 5 sobre la importancia del empaque; diferencial semántico de 1 a 7 sobre el precio</w:t>
            </w:r>
          </w:p>
        </w:tc>
      </w:tr>
      <w:tr>
        <w:tc>
          <w:tcPr>
            <w:tcW w:type="dxa" w:w="15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Razón</w:t>
            </w:r>
          </w:p>
        </w:tc>
        <w:tc>
          <w:tcPr>
            <w:tcW w:type="dxa" w:w="3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Todas las propiedades anteriores más un cero absoluto real</w:t>
            </w:r>
          </w:p>
        </w:tc>
        <w:tc>
          <w:tcPr>
            <w:tcW w:type="dxa" w:w="39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Frecuencia de recompra mensual; gasto semanal en soles; edad exacta</w:t>
            </w:r>
          </w:p>
        </w:tc>
      </w:tr>
    </w:tbl>
    <w:p>
      <w:pPr>
        <w:spacing w:after="120"/>
      </w:pPr>
      <w:r>
        <w:rPr>
          <w:rFonts w:ascii="Arial" w:cs="Arial" w:eastAsia="Arial" w:hAnsi="Arial"/>
          <w:b w:val="false"/>
          <w:bCs w:val="false"/>
          <w:i w:val="false"/>
          <w:iCs w:val="false"/>
          <w:color w:val="000000"/>
          <w:sz w:val="20"/>
          <w:szCs w:val="20"/>
        </w:rPr>
        <w:t xml:space="preserve"/>
      </w:r>
    </w:p>
    <w:p>
      <w:pPr>
        <w:spacing w:after="100" w:before="0" w:line="260"/>
        <w:jc w:val="both"/>
      </w:pPr>
      <w:r>
        <w:rPr>
          <w:rFonts w:ascii="Arial" w:cs="Arial" w:eastAsia="Arial" w:hAnsi="Arial"/>
          <w:b/>
          <w:bCs/>
          <w:i w:val="false"/>
          <w:iCs w:val="false"/>
          <w:color w:val="C00000"/>
          <w:sz w:val="20"/>
          <w:szCs w:val="20"/>
        </w:rPr>
        <w:t xml:space="preserve">Precisión para el docente. </w:t>
      </w:r>
      <w:r>
        <w:rPr>
          <w:rFonts w:ascii="Arial" w:cs="Arial" w:eastAsia="Arial" w:hAnsi="Arial"/>
          <w:b w:val="false"/>
          <w:bCs w:val="false"/>
          <w:i w:val="false"/>
          <w:iCs w:val="false"/>
          <w:color w:val="000000"/>
          <w:sz w:val="20"/>
          <w:szCs w:val="20"/>
        </w:rPr>
        <w:t xml:space="preserve">Este curso sigue a Malhotra y a McDaniel y Gates, que tratan las escalas de Likert y el diferencial semántico como escalas de intervalo, lo que habilita medias, desviaciones y pruebas paramétricas. La estadística estricta las considera ordinales cuando se analiza un ítem aislado. Conviene mencionarlo en una frase y sostener la convención del curso, para que el estudiante no encuentre una contradicción al consultar otra fuente.</w:t>
      </w:r>
    </w:p>
    <w:p>
      <w:pPr>
        <w:spacing w:after="130" w:before="260"/>
      </w:pPr>
      <w:r>
        <w:rPr>
          <w:rFonts w:ascii="Arial" w:cs="Arial" w:eastAsia="Arial" w:hAnsi="Arial"/>
          <w:b/>
          <w:bCs/>
          <w:i w:val="false"/>
          <w:iCs w:val="false"/>
          <w:color w:val="1F3864"/>
          <w:sz w:val="22"/>
          <w:szCs w:val="22"/>
        </w:rPr>
        <w:t xml:space="preserve">11. LAS DOS MATRICES DE OPERACIONALIZACIÓN RESUELTAS</w:t>
      </w:r>
    </w:p>
    <w:p>
      <w:pPr>
        <w:spacing w:after="60" w:before="0" w:line="260"/>
        <w:jc w:val="both"/>
      </w:pPr>
      <w:r>
        <w:rPr>
          <w:rFonts w:ascii="Arial" w:cs="Arial" w:eastAsia="Arial" w:hAnsi="Arial"/>
          <w:b/>
          <w:bCs/>
          <w:i w:val="false"/>
          <w:iCs w:val="false"/>
          <w:color w:val="000000"/>
          <w:sz w:val="20"/>
          <w:szCs w:val="20"/>
        </w:rPr>
        <w:t xml:space="preserve">Caso producto · Misti Cacao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600"/>
        <w:gridCol w:w="2100"/>
      </w:tblGrid>
      <w:tr>
        <w:trPr>
          <w:tblHeader/>
        </w:trPr>
        <w:tc>
          <w:tcPr>
            <w:tcW w:type="dxa" w:w="15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Tipo</w:t>
            </w:r>
          </w:p>
        </w:tc>
        <w:tc>
          <w:tcPr>
            <w:tcW w:type="dxa" w:w="18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Variable</w:t>
            </w:r>
          </w:p>
        </w:tc>
        <w:tc>
          <w:tcPr>
            <w:tcW w:type="dxa" w:w="36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Definición operativa (indicador o pregunta)</w:t>
            </w:r>
          </w:p>
        </w:tc>
        <w:tc>
          <w:tcPr>
            <w:tcW w:type="dxa" w:w="21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Nivel de medición</w:t>
            </w:r>
          </w:p>
        </w:tc>
      </w:tr>
      <w:tr>
        <w:tc>
          <w:tcPr>
            <w:tcW w:type="dxa" w:w="1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VD</w:t>
            </w:r>
          </w:p>
        </w:tc>
        <w:tc>
          <w:tcPr>
            <w:tcW w:type="dxa" w:w="18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Frecuencia de recompra</w:t>
            </w:r>
          </w:p>
        </w:tc>
        <w:tc>
          <w:tcPr>
            <w:tcW w:type="dxa" w:w="36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Número de veces que el encuestado adquirió una barra Misti Cacao en el último mes. Pregunta abierta numérica.</w:t>
            </w:r>
          </w:p>
        </w:tc>
        <w:tc>
          <w:tcPr>
            <w:tcW w:type="dxa" w:w="21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Razón, valor mayor o igual a cero</w:t>
            </w:r>
          </w:p>
        </w:tc>
      </w:tr>
      <w:tr>
        <w:tc>
          <w:tcPr>
            <w:tcW w:type="dxa" w:w="1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VI 1</w:t>
            </w:r>
          </w:p>
        </w:tc>
        <w:tc>
          <w:tcPr>
            <w:tcW w:type="dxa" w:w="18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Importancia del empaque ecológico</w:t>
            </w:r>
          </w:p>
        </w:tc>
        <w:tc>
          <w:tcPr>
            <w:tcW w:type="dxa" w:w="36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Grado de acuerdo con: «Para mí es indispensable que el empaque de mi chocolate premium sea 100 % biodegradable».</w:t>
            </w:r>
          </w:p>
        </w:tc>
        <w:tc>
          <w:tcPr>
            <w:tcW w:type="dxa" w:w="21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Intervalo, Likert de 5 puntos</w:t>
            </w:r>
          </w:p>
        </w:tc>
      </w:tr>
      <w:tr>
        <w:tc>
          <w:tcPr>
            <w:tcW w:type="dxa" w:w="1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VI 2</w:t>
            </w:r>
          </w:p>
        </w:tc>
        <w:tc>
          <w:tcPr>
            <w:tcW w:type="dxa" w:w="18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Percepción del precio</w:t>
            </w:r>
          </w:p>
        </w:tc>
        <w:tc>
          <w:tcPr>
            <w:tcW w:type="dxa" w:w="36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«Considero que el precio de venta actual de las barras Misti Cacao es…»</w:t>
            </w:r>
          </w:p>
        </w:tc>
        <w:tc>
          <w:tcPr>
            <w:tcW w:type="dxa" w:w="21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Intervalo, diferencial semántico de 1 a 7</w:t>
            </w:r>
          </w:p>
        </w:tc>
      </w:tr>
    </w:tbl>
    <w:p>
      <w:pPr>
        <w:spacing w:after="120"/>
      </w:pPr>
      <w:r>
        <w:rPr>
          <w:rFonts w:ascii="Arial" w:cs="Arial" w:eastAsia="Arial" w:hAnsi="Arial"/>
          <w:b w:val="false"/>
          <w:bCs w:val="false"/>
          <w:i w:val="false"/>
          <w:iCs w:val="false"/>
          <w:color w:val="000000"/>
          <w:sz w:val="20"/>
          <w:szCs w:val="20"/>
        </w:rPr>
        <w:t xml:space="preserve"/>
      </w:r>
    </w:p>
    <w:p>
      <w:pPr>
        <w:spacing w:after="60" w:before="0" w:line="260"/>
        <w:jc w:val="both"/>
      </w:pPr>
      <w:r>
        <w:rPr>
          <w:rFonts w:ascii="Arial" w:cs="Arial" w:eastAsia="Arial" w:hAnsi="Arial"/>
          <w:b/>
          <w:bCs/>
          <w:i w:val="false"/>
          <w:iCs w:val="false"/>
          <w:color w:val="000000"/>
          <w:sz w:val="20"/>
          <w:szCs w:val="20"/>
        </w:rPr>
        <w:t xml:space="preserve">Caso servicio · FreshBreak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600"/>
        <w:gridCol w:w="2100"/>
      </w:tblGrid>
      <w:tr>
        <w:trPr>
          <w:tblHeader/>
        </w:trPr>
        <w:tc>
          <w:tcPr>
            <w:tcW w:type="dxa" w:w="15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Tipo</w:t>
            </w:r>
          </w:p>
        </w:tc>
        <w:tc>
          <w:tcPr>
            <w:tcW w:type="dxa" w:w="18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Variable</w:t>
            </w:r>
          </w:p>
        </w:tc>
        <w:tc>
          <w:tcPr>
            <w:tcW w:type="dxa" w:w="36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Definición operativa (indicador o pregunta)</w:t>
            </w:r>
          </w:p>
        </w:tc>
        <w:tc>
          <w:tcPr>
            <w:tcW w:type="dxa" w:w="21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Nivel de medición</w:t>
            </w:r>
          </w:p>
        </w:tc>
      </w:tr>
      <w:tr>
        <w:tc>
          <w:tcPr>
            <w:tcW w:type="dxa" w:w="1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VD</w:t>
            </w:r>
          </w:p>
        </w:tc>
        <w:tc>
          <w:tcPr>
            <w:tcW w:type="dxa" w:w="18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Frecuencia de compra semanal</w:t>
            </w:r>
          </w:p>
        </w:tc>
        <w:tc>
          <w:tcPr>
            <w:tcW w:type="dxa" w:w="36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Número de veces que el estudiante compró en la cafetería en una semana típica del ciclo. Pregunta abierta numérica.</w:t>
            </w:r>
          </w:p>
        </w:tc>
        <w:tc>
          <w:tcPr>
            <w:tcW w:type="dxa" w:w="21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Razón, valor mayor o igual a cero</w:t>
            </w:r>
          </w:p>
        </w:tc>
      </w:tr>
      <w:tr>
        <w:tc>
          <w:tcPr>
            <w:tcW w:type="dxa" w:w="1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VI 1</w:t>
            </w:r>
          </w:p>
        </w:tc>
        <w:tc>
          <w:tcPr>
            <w:tcW w:type="dxa" w:w="18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Satisfacción con la rapidez de atención</w:t>
            </w:r>
          </w:p>
        </w:tc>
        <w:tc>
          <w:tcPr>
            <w:tcW w:type="dxa" w:w="36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Grado de acuerdo con: «La atención en FreshBreak es rápida para el tiempo que tengo entre clases».</w:t>
            </w:r>
          </w:p>
        </w:tc>
        <w:tc>
          <w:tcPr>
            <w:tcW w:type="dxa" w:w="21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Intervalo, Likert de 5 puntos</w:t>
            </w:r>
          </w:p>
        </w:tc>
      </w:tr>
      <w:tr>
        <w:tc>
          <w:tcPr>
            <w:tcW w:type="dxa" w:w="1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VI 2</w:t>
            </w:r>
          </w:p>
        </w:tc>
        <w:tc>
          <w:tcPr>
            <w:tcW w:type="dxa" w:w="18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Percepción del precio</w:t>
            </w:r>
          </w:p>
        </w:tc>
        <w:tc>
          <w:tcPr>
            <w:tcW w:type="dxa" w:w="36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«Considero que el precio del menú de FreshBreak es…»</w:t>
            </w:r>
          </w:p>
        </w:tc>
        <w:tc>
          <w:tcPr>
            <w:tcW w:type="dxa" w:w="21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Intervalo, diferencial semántico de 1 a 7</w:t>
            </w:r>
          </w:p>
        </w:tc>
      </w:tr>
      <w:tr>
        <w:tc>
          <w:tcPr>
            <w:tcW w:type="dxa" w:w="15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VI 3</w:t>
            </w:r>
          </w:p>
        </w:tc>
        <w:tc>
          <w:tcPr>
            <w:tcW w:type="dxa" w:w="18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Canal de consumo</w:t>
            </w:r>
          </w:p>
        </w:tc>
        <w:tc>
          <w:tcPr>
            <w:tcW w:type="dxa" w:w="36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Modalidad habitual de consumo declarada por el estudiante.</w:t>
            </w:r>
          </w:p>
        </w:tc>
        <w:tc>
          <w:tcPr>
            <w:tcW w:type="dxa" w:w="21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Nominal: local, para llevar o delivery</w:t>
            </w:r>
          </w:p>
        </w:tc>
      </w:tr>
    </w:tbl>
    <w:p>
      <w:pPr>
        <w:spacing w:after="120"/>
      </w:pPr>
      <w:r>
        <w:rPr>
          <w:rFonts w:ascii="Arial" w:cs="Arial" w:eastAsia="Arial" w:hAnsi="Arial"/>
          <w:b w:val="false"/>
          <w:bCs w:val="false"/>
          <w:i w:val="false"/>
          <w:iCs w:val="false"/>
          <w:color w:val="000000"/>
          <w:sz w:val="20"/>
          <w:szCs w:val="20"/>
        </w:rPr>
        <w:t xml:space="preserve"/>
      </w:r>
    </w:p>
    <w:p>
      <w:pPr>
        <w:pBdr>
          <w:left w:val="single" w:color="548235" w:sz="18"/>
        </w:pBdr>
        <w:shd w:fill="E2EFDA" w:color="auto" w:val="clear"/>
        <w:spacing w:after="120" w:before="60" w:line="260"/>
        <w:ind w:left="120" w:right="120"/>
        <w:jc w:val="both"/>
      </w:pPr>
      <w:r>
        <w:rPr>
          <w:rFonts w:ascii="Arial" w:cs="Arial" w:eastAsia="Arial" w:hAnsi="Arial"/>
          <w:b/>
          <w:bCs/>
          <w:i w:val="false"/>
          <w:iCs w:val="false"/>
          <w:color w:val="375623"/>
          <w:sz w:val="19"/>
          <w:szCs w:val="19"/>
        </w:rPr>
        <w:t xml:space="preserve">TIP.  </w:t>
      </w:r>
      <w:r>
        <w:rPr>
          <w:rFonts w:ascii="Arial" w:cs="Arial" w:eastAsia="Arial" w:hAnsi="Arial"/>
          <w:b w:val="false"/>
          <w:bCs w:val="false"/>
          <w:i w:val="false"/>
          <w:iCs w:val="false"/>
          <w:color w:val="000000"/>
          <w:sz w:val="19"/>
          <w:szCs w:val="19"/>
        </w:rPr>
        <w:t xml:space="preserve">El contraste que conviene explicitar: la variable dependiente es del mismo tipo en ambos casos, pero el período cambia según la naturaleza de la categoría. Un chocolate premium se mide por mes; una cafetería, por semana. Elegir mal el período es el error silencioso que arruina el análisis, porque produce una variable con casi toda su masa en cero.</w:t>
      </w:r>
    </w:p>
    <w:p>
      <w:pPr>
        <w:spacing w:after="130" w:before="260"/>
      </w:pPr>
      <w:r>
        <w:rPr>
          <w:rFonts w:ascii="Arial" w:cs="Arial" w:eastAsia="Arial" w:hAnsi="Arial"/>
          <w:b/>
          <w:bCs/>
          <w:i w:val="false"/>
          <w:iCs w:val="false"/>
          <w:color w:val="1F3864"/>
          <w:sz w:val="22"/>
          <w:szCs w:val="22"/>
        </w:rPr>
        <w:t xml:space="preserve">12. HIPÓTESIS: LAS DOS FORMAS QUE SE PIDEN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Forma</w:t>
            </w:r>
          </w:p>
        </w:tc>
        <w:tc>
          <w:tcPr>
            <w:tcW w:type="dxa" w:w="71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Caso producto · Misti Cacao</w:t>
            </w:r>
          </w:p>
        </w:tc>
      </w:tr>
      <w:tr>
        <w:tc>
          <w:tcPr>
            <w:tcW w:type="dxa" w:w="19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Hipótesis relacional (Ha)</w:t>
            </w:r>
          </w:p>
        </w:tc>
        <w:tc>
          <w:tcPr>
            <w:tcW w:type="dxa" w:w="71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 importancia que el consumidor asigna a la biodegradabilidad del empaque influye de manera directa y positiva en la frecuencia de recompra mensual de chocolates premium Misti Cacao en la ciudad de Arequipa.</w:t>
            </w:r>
          </w:p>
        </w:tc>
      </w:tr>
      <w:tr>
        <w:tc>
          <w:tcPr>
            <w:tcW w:type="dxa" w:w="19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Hipótesis nula (H0)</w:t>
            </w:r>
          </w:p>
        </w:tc>
        <w:tc>
          <w:tcPr>
            <w:tcW w:type="dxa" w:w="71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 frecuencia promedio de recompra mensual es idéntica entre los consumidores de alta y de baja conciencia ecológica. µ1 = µ2.</w:t>
            </w:r>
          </w:p>
        </w:tc>
      </w:tr>
      <w:tr>
        <w:tc>
          <w:tcPr>
            <w:tcW w:type="dxa" w:w="19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Hipótesis alternativa (Ha)</w:t>
            </w:r>
          </w:p>
        </w:tc>
        <w:tc>
          <w:tcPr>
            <w:tcW w:type="dxa" w:w="71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 frecuencia promedio de recompra mensual es significativamente superior en los consumidores de alta conciencia ecológica. µ1 &gt; µ2. Prueba T de Student.</w:t>
            </w:r>
          </w:p>
        </w:tc>
      </w:tr>
    </w:tbl>
    <w:p>
      <w:pPr>
        <w:spacing w:after="120"/>
      </w:pPr>
      <w:r>
        <w:rPr>
          <w:rFonts w:ascii="Arial" w:cs="Arial" w:eastAsia="Arial" w:hAnsi="Arial"/>
          <w:b w:val="false"/>
          <w:bCs w:val="false"/>
          <w:i w:val="false"/>
          <w:iCs w:val="false"/>
          <w:color w:val="000000"/>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Forma</w:t>
            </w:r>
          </w:p>
        </w:tc>
        <w:tc>
          <w:tcPr>
            <w:tcW w:type="dxa" w:w="71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Caso servicio · FreshBreak</w:t>
            </w:r>
          </w:p>
        </w:tc>
      </w:tr>
      <w:tr>
        <w:tc>
          <w:tcPr>
            <w:tcW w:type="dxa" w:w="19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Hipótesis relacional (Ha)</w:t>
            </w:r>
          </w:p>
        </w:tc>
        <w:tc>
          <w:tcPr>
            <w:tcW w:type="dxa" w:w="71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 satisfacción con la rapidez de atención influye de manera directa y positiva en la frecuencia de compra semanal de los estudiantes en la cafetería FreshBreak.</w:t>
            </w:r>
          </w:p>
        </w:tc>
      </w:tr>
      <w:tr>
        <w:tc>
          <w:tcPr>
            <w:tcW w:type="dxa" w:w="19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Hipótesis nula (H0)</w:t>
            </w:r>
          </w:p>
        </w:tc>
        <w:tc>
          <w:tcPr>
            <w:tcW w:type="dxa" w:w="71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 frecuencia promedio de compra semanal es idéntica entre quienes consumen en el local y quienes usan el delivery. µ1 = µ2.</w:t>
            </w:r>
          </w:p>
        </w:tc>
      </w:tr>
      <w:tr>
        <w:tc>
          <w:tcPr>
            <w:tcW w:type="dxa" w:w="19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Hipótesis alternativa (Ha)</w:t>
            </w:r>
          </w:p>
        </w:tc>
        <w:tc>
          <w:tcPr>
            <w:tcW w:type="dxa" w:w="7100"/>
            <w:shd w:fill="E2EFDA"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 frecuencia promedio de compra semanal difiere entre ambos grupos. µ1 ≠ µ2. Prueba T de Student.</w:t>
            </w:r>
          </w:p>
        </w:tc>
      </w:tr>
    </w:tbl>
    <w:p>
      <w:pPr>
        <w:spacing w:after="120"/>
      </w:pPr>
      <w:r>
        <w:rPr>
          <w:rFonts w:ascii="Arial" w:cs="Arial" w:eastAsia="Arial" w:hAnsi="Arial"/>
          <w:b w:val="false"/>
          <w:bCs w:val="false"/>
          <w:i w:val="false"/>
          <w:iCs w:val="false"/>
          <w:color w:val="000000"/>
          <w:sz w:val="20"/>
          <w:szCs w:val="20"/>
        </w:rPr>
        <w:t xml:space="preserve"/>
      </w:r>
    </w:p>
    <w:p>
      <w:pPr>
        <w:pBdr>
          <w:left w:val="single" w:color="548235" w:sz="18"/>
        </w:pBdr>
        <w:shd w:fill="E2EFDA" w:color="auto" w:val="clear"/>
        <w:spacing w:after="120" w:before="60" w:line="260"/>
        <w:ind w:left="120" w:right="120"/>
        <w:jc w:val="both"/>
      </w:pPr>
      <w:r>
        <w:rPr>
          <w:rFonts w:ascii="Arial" w:cs="Arial" w:eastAsia="Arial" w:hAnsi="Arial"/>
          <w:b/>
          <w:bCs/>
          <w:i w:val="false"/>
          <w:iCs w:val="false"/>
          <w:color w:val="375623"/>
          <w:sz w:val="19"/>
          <w:szCs w:val="19"/>
        </w:rPr>
        <w:t xml:space="preserve">TIP.  </w:t>
      </w:r>
      <w:r>
        <w:rPr>
          <w:rFonts w:ascii="Arial" w:cs="Arial" w:eastAsia="Arial" w:hAnsi="Arial"/>
          <w:b w:val="false"/>
          <w:bCs w:val="false"/>
          <w:i w:val="false"/>
          <w:iCs w:val="false"/>
          <w:color w:val="000000"/>
          <w:sz w:val="19"/>
          <w:szCs w:val="19"/>
        </w:rPr>
        <w:t xml:space="preserve">La pregunta que separa una hipótesis de un deseo: «¿qué resultado haría que esta afirmación sea falsa?». Si el equipo no sabe responder, todavía no tiene una hipótesis. «El empaque es importante para el consumidor» no es falsable; «la frecuencia de recompra es superior en quienes valoran el empaque» sí lo es.</w:t>
      </w:r>
    </w:p>
    <w:p>
      <w:pPr>
        <w:spacing w:after="130" w:before="260"/>
      </w:pPr>
      <w:r>
        <w:rPr>
          <w:rFonts w:ascii="Arial" w:cs="Arial" w:eastAsia="Arial" w:hAnsi="Arial"/>
          <w:b/>
          <w:bCs/>
          <w:i w:val="false"/>
          <w:iCs w:val="false"/>
          <w:color w:val="1F3864"/>
          <w:sz w:val="22"/>
          <w:szCs w:val="22"/>
        </w:rPr>
        <w:t xml:space="preserve">13. LOS SEIS ERRORES QUE VAN A APARECER Y CÓMO CORREGIRLOS EN VOZ ALTA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Error del equipo</w:t>
            </w:r>
          </w:p>
        </w:tc>
        <w:tc>
          <w:tcPr>
            <w:tcW w:type="dxa" w:w="60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Corrección de treinta segundos</w:t>
            </w:r>
          </w:p>
        </w:tc>
      </w:tr>
      <w:tr>
        <w:tc>
          <w:tcPr>
            <w:tcW w:type="dxa" w:w="30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El PIM está redactado como PDG</w:t>
            </w:r>
          </w:p>
        </w:tc>
        <w:tc>
          <w:tcPr>
            <w:tcW w:type="dxa" w:w="60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«Eso es lo que va a decidir el gerente. ¿Qué necesitas saber tú para que él pueda decidirlo?»</w:t>
            </w:r>
          </w:p>
        </w:tc>
      </w:tr>
      <w:tr>
        <w:tc>
          <w:tcPr>
            <w:tcW w:type="dxa" w:w="30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El objetivo tiene dos verbos</w:t>
            </w:r>
          </w:p>
        </w:tc>
        <w:tc>
          <w:tcPr>
            <w:tcW w:type="dxa" w:w="60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«Cada objetivo mide una sola cosa. Pártelo en dos y numéralos.»</w:t>
            </w:r>
          </w:p>
        </w:tc>
      </w:tr>
      <w:tr>
        <w:tc>
          <w:tcPr>
            <w:tcW w:type="dxa" w:w="30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 variable dependiente es una meta de ventas</w:t>
            </w:r>
          </w:p>
        </w:tc>
        <w:tc>
          <w:tcPr>
            <w:tcW w:type="dxa" w:w="60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«Eso se mide en la caja de la empresa, no en el consumidor. ¿Qué conducta del consumidor quieres explicar?»</w:t>
            </w:r>
          </w:p>
        </w:tc>
      </w:tr>
      <w:tr>
        <w:tc>
          <w:tcPr>
            <w:tcW w:type="dxa" w:w="30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Hay variables sin escala declarada</w:t>
            </w:r>
          </w:p>
        </w:tc>
        <w:tc>
          <w:tcPr>
            <w:tcW w:type="dxa" w:w="60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«Escribe al lado con qué le vas a preguntar esto. Si no sabes, la variable no existe todavía.»</w:t>
            </w:r>
          </w:p>
        </w:tc>
      </w:tr>
      <w:tr>
        <w:tc>
          <w:tcPr>
            <w:tcW w:type="dxa" w:w="30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La hipótesis no es falsable</w:t>
            </w:r>
          </w:p>
        </w:tc>
        <w:tc>
          <w:tcPr>
            <w:tcW w:type="dxa" w:w="60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«¿Qué resultado haría que esto sea falso?»</w:t>
            </w:r>
          </w:p>
        </w:tc>
      </w:tr>
      <w:tr>
        <w:tc>
          <w:tcPr>
            <w:tcW w:type="dxa" w:w="30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Los objetivos específicos repiten el general</w:t>
            </w:r>
          </w:p>
        </w:tc>
        <w:tc>
          <w:tcPr>
            <w:tcW w:type="dxa" w:w="60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«Cada específico ataca una dimensión distinta: hábitos, atributos, precio, marca. ¿Cuál ataca este?»</w:t>
            </w:r>
          </w:p>
        </w:tc>
      </w:tr>
    </w:tbl>
    <w:p>
      <w:pPr>
        <w:spacing w:after="130" w:before="260"/>
      </w:pPr>
      <w:r>
        <w:rPr>
          <w:rFonts w:ascii="Arial" w:cs="Arial" w:eastAsia="Arial" w:hAnsi="Arial"/>
          <w:b/>
          <w:bCs/>
          <w:i w:val="false"/>
          <w:iCs w:val="false"/>
          <w:color w:val="1F3864"/>
          <w:sz w:val="22"/>
          <w:szCs w:val="22"/>
        </w:rPr>
        <w:t xml:space="preserve">14. VERIFICACIÓN RÁPIDA DURANTE EL TALLER</w:t>
      </w:r>
    </w:p>
    <w:p>
      <w:pPr>
        <w:spacing w:after="100" w:before="0" w:line="260"/>
        <w:jc w:val="both"/>
      </w:pPr>
      <w:r>
        <w:rPr>
          <w:rFonts w:ascii="Arial" w:cs="Arial" w:eastAsia="Arial" w:hAnsi="Arial"/>
          <w:b w:val="false"/>
          <w:bCs w:val="false"/>
          <w:i w:val="false"/>
          <w:iCs w:val="false"/>
          <w:color w:val="000000"/>
          <w:sz w:val="20"/>
          <w:szCs w:val="20"/>
        </w:rPr>
        <w:t xml:space="preserve">Cuarenta minutos y seis o siete equipos dan unos cinco minutos por equipo. No revises el documento completo: revisa con el dedo, en este orden, y sigue.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rPr>
          <w:tblHeader/>
        </w:trPr>
        <w:tc>
          <w:tcPr>
            <w:tcW w:type="dxa" w:w="6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N.º</w:t>
            </w:r>
          </w:p>
        </w:tc>
        <w:tc>
          <w:tcPr>
            <w:tcW w:type="dxa" w:w="8400"/>
            <w:shd w:fill="1F3864" w:color="auto" w:val="clear"/>
            <w:tcMar>
              <w:top w:type="dxa" w:w="60"/>
              <w:left w:type="dxa" w:w="90"/>
              <w:bottom w:type="dxa" w:w="60"/>
              <w:right w:type="dxa" w:w="90"/>
            </w:tcMar>
            <w:vAlign w:val="center"/>
          </w:tcPr>
          <w:p>
            <w:pPr>
              <w:spacing w:after="0" w:line="240"/>
              <w:jc w:val="center"/>
            </w:pPr>
            <w:r>
              <w:rPr>
                <w:rFonts w:ascii="Arial" w:cs="Arial" w:eastAsia="Arial" w:hAnsi="Arial"/>
                <w:b/>
                <w:bCs/>
                <w:i w:val="false"/>
                <w:iCs w:val="false"/>
                <w:color w:val="FFFFFF"/>
                <w:sz w:val="17"/>
                <w:szCs w:val="17"/>
              </w:rPr>
              <w:t xml:space="preserve">Qué se verifica en cada mesa</w:t>
            </w:r>
          </w:p>
        </w:tc>
      </w:tr>
      <w:tr>
        <w:tc>
          <w:tcPr>
            <w:tcW w:type="dxa" w:w="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1</w:t>
            </w:r>
          </w:p>
        </w:tc>
        <w:tc>
          <w:tcPr>
            <w:tcW w:type="dxa" w:w="8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Señala los cinco pilares dentro del PIM, uno por uno. Si falta alguno, el equipo lo corrige antes de seguir.</w:t>
            </w:r>
          </w:p>
        </w:tc>
      </w:tr>
      <w:tr>
        <w:tc>
          <w:tcPr>
            <w:tcW w:type="dxa" w:w="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2</w:t>
            </w:r>
          </w:p>
        </w:tc>
        <w:tc>
          <w:tcPr>
            <w:tcW w:type="dxa" w:w="8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Lee el primer verbo de cada objetivo. Si es de gestión, se corrige en el acto.</w:t>
            </w:r>
          </w:p>
        </w:tc>
      </w:tr>
      <w:tr>
        <w:tc>
          <w:tcPr>
            <w:tcW w:type="dxa" w:w="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3</w:t>
            </w:r>
          </w:p>
        </w:tc>
        <w:tc>
          <w:tcPr>
            <w:tcW w:type="dxa" w:w="8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Cuenta las variables: una sola dependiente.</w:t>
            </w:r>
          </w:p>
        </w:tc>
      </w:tr>
      <w:tr>
        <w:tc>
          <w:tcPr>
            <w:tcW w:type="dxa" w:w="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4</w:t>
            </w:r>
          </w:p>
        </w:tc>
        <w:tc>
          <w:tcPr>
            <w:tcW w:type="dxa" w:w="8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Pregunta la escala de dos variables al azar.</w:t>
            </w:r>
          </w:p>
        </w:tc>
      </w:tr>
      <w:tr>
        <w:tc>
          <w:tcPr>
            <w:tcW w:type="dxa" w:w="6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5</w:t>
            </w:r>
          </w:p>
        </w:tc>
        <w:tc>
          <w:tcPr>
            <w:tcW w:type="dxa" w:w="8400"/>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Pregunta qué resultado haría falsa la primera hipótesis.</w:t>
            </w:r>
          </w:p>
        </w:tc>
      </w:tr>
      <w:tr>
        <w:tc>
          <w:tcPr>
            <w:tcW w:type="dxa" w:w="6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6</w:t>
            </w:r>
          </w:p>
        </w:tc>
        <w:tc>
          <w:tcPr>
            <w:tcW w:type="dxa" w:w="8400"/>
            <w:shd w:fill="F2F2F2" w:color="auto" w:val="clear"/>
            <w:tcMar>
              <w:top w:type="dxa" w:w="60"/>
              <w:left w:type="dxa" w:w="90"/>
              <w:bottom w:type="dxa" w:w="60"/>
              <w:right w:type="dxa" w:w="90"/>
            </w:tcMar>
            <w:vAlign w:val="center"/>
          </w:tcPr>
          <w:p>
            <w:pPr>
              <w:spacing w:after="0" w:line="240"/>
              <w:jc w:val="left"/>
            </w:pPr>
            <w:r>
              <w:rPr>
                <w:rFonts w:ascii="Arial" w:cs="Arial" w:eastAsia="Arial" w:hAnsi="Arial"/>
                <w:b w:val="false"/>
                <w:bCs w:val="false"/>
                <w:i w:val="false"/>
                <w:iCs w:val="false"/>
                <w:color w:val="000000"/>
                <w:sz w:val="17"/>
                <w:szCs w:val="17"/>
              </w:rPr>
              <w:t xml:space="preserve">Confirma que toda fila de la matriz «qué necesito saber» tenga una decisión de marketing asociada.</w:t>
            </w:r>
          </w:p>
        </w:tc>
      </w:tr>
    </w:tbl>
    <w:p>
      <w:pPr>
        <w:spacing w:after="130" w:before="260"/>
      </w:pPr>
      <w:r>
        <w:rPr>
          <w:rFonts w:ascii="Arial" w:cs="Arial" w:eastAsia="Arial" w:hAnsi="Arial"/>
          <w:b/>
          <w:bCs/>
          <w:i w:val="false"/>
          <w:iCs w:val="false"/>
          <w:color w:val="1F3864"/>
          <w:sz w:val="22"/>
          <w:szCs w:val="22"/>
        </w:rPr>
        <w:t xml:space="preserve">15. CIERRE Y ENCARGO</w:t>
      </w:r>
    </w:p>
    <w:p>
      <w:pPr>
        <w:spacing w:after="100" w:before="0" w:line="260"/>
        <w:jc w:val="both"/>
      </w:pPr>
      <w:r>
        <w:rPr>
          <w:rFonts w:ascii="Arial" w:cs="Arial" w:eastAsia="Arial" w:hAnsi="Arial"/>
          <w:b/>
          <w:bCs/>
          <w:i w:val="false"/>
          <w:iCs w:val="false"/>
          <w:color w:val="000000"/>
          <w:sz w:val="20"/>
          <w:szCs w:val="20"/>
        </w:rPr>
        <w:t xml:space="preserve">Socialización (7 minutos). </w:t>
      </w:r>
      <w:r>
        <w:rPr>
          <w:rFonts w:ascii="Arial" w:cs="Arial" w:eastAsia="Arial" w:hAnsi="Arial"/>
          <w:b w:val="false"/>
          <w:bCs w:val="false"/>
          <w:i w:val="false"/>
          <w:iCs w:val="false"/>
          <w:color w:val="000000"/>
          <w:sz w:val="20"/>
          <w:szCs w:val="20"/>
        </w:rPr>
        <w:t xml:space="preserve">Dos equipos leen su PIM. El aula verifica los cinco pilares en voz alta. Registra en la pizarra los errores que se repitan: esa lista abre la sesión del miércoles.</w:t>
      </w:r>
    </w:p>
    <w:p>
      <w:pPr>
        <w:spacing w:after="100" w:before="0" w:line="260"/>
        <w:jc w:val="both"/>
      </w:pPr>
      <w:r>
        <w:rPr>
          <w:rFonts w:ascii="Arial" w:cs="Arial" w:eastAsia="Arial" w:hAnsi="Arial"/>
          <w:b/>
          <w:bCs/>
          <w:i w:val="false"/>
          <w:iCs w:val="false"/>
          <w:color w:val="000000"/>
          <w:sz w:val="20"/>
          <w:szCs w:val="20"/>
        </w:rPr>
        <w:t xml:space="preserve">Ticket de salida (3 minutos). </w:t>
      </w:r>
      <w:r>
        <w:rPr>
          <w:rFonts w:ascii="Arial" w:cs="Arial" w:eastAsia="Arial" w:hAnsi="Arial"/>
          <w:b w:val="false"/>
          <w:bCs w:val="false"/>
          <w:i w:val="false"/>
          <w:iCs w:val="false"/>
          <w:color w:val="000000"/>
          <w:sz w:val="20"/>
          <w:szCs w:val="20"/>
        </w:rPr>
        <w:t xml:space="preserve">Tres líneas: ¿cuál es la variable dependiente de mi proyecto y por qué no es una meta de ventas?</w:t>
      </w:r>
    </w:p>
    <w:p>
      <w:pPr>
        <w:spacing w:after="100" w:before="0" w:line="260"/>
        <w:jc w:val="both"/>
      </w:pPr>
      <w:r>
        <w:rPr>
          <w:rFonts w:ascii="Arial" w:cs="Arial" w:eastAsia="Arial" w:hAnsi="Arial"/>
          <w:b/>
          <w:bCs/>
          <w:i w:val="false"/>
          <w:iCs w:val="false"/>
          <w:color w:val="000000"/>
          <w:sz w:val="20"/>
          <w:szCs w:val="20"/>
        </w:rPr>
        <w:t xml:space="preserve">Encargo. </w:t>
      </w:r>
      <w:r>
        <w:rPr>
          <w:rFonts w:ascii="Arial" w:cs="Arial" w:eastAsia="Arial" w:hAnsi="Arial"/>
          <w:b w:val="false"/>
          <w:bCs w:val="false"/>
          <w:i w:val="false"/>
          <w:iCs w:val="false"/>
          <w:color w:val="000000"/>
          <w:sz w:val="20"/>
          <w:szCs w:val="20"/>
        </w:rPr>
        <w:t xml:space="preserve">Traer, por cada objetivo específico, la lista de variables que se desprenden de él, con su indicador previsto. La sesión 6 redacta el cuestionario completo y lo publica en formulario en línea: sin ese insumo, el equipo no alcanza a publicarlo y no podrá iniciar el trabajo de campo el 8 de setiembre.</w:t>
      </w:r>
    </w:p>
    <w:p>
      <w:pPr>
        <w:spacing w:after="130" w:before="260"/>
      </w:pPr>
      <w:r>
        <w:rPr>
          <w:rFonts w:ascii="Arial" w:cs="Arial" w:eastAsia="Arial" w:hAnsi="Arial"/>
          <w:b/>
          <w:bCs/>
          <w:i w:val="false"/>
          <w:iCs w:val="false"/>
          <w:color w:val="1F3864"/>
          <w:sz w:val="22"/>
          <w:szCs w:val="22"/>
        </w:rPr>
        <w:t xml:space="preserve">16. FUENTES BIBLIOGRÁFICAS DE RESPALDO (APA 7.ª EDICIÓN)</w:t>
      </w:r>
    </w:p>
    <w:p>
      <w:pPr>
        <w:spacing w:after="80" w:before="0" w:line="260"/>
        <w:ind w:left="340"/>
        <w:jc w:val="both"/>
      </w:pPr>
      <w:r>
        <w:rPr>
          <w:rFonts w:ascii="Arial" w:cs="Arial" w:eastAsia="Arial" w:hAnsi="Arial"/>
          <w:b w:val="false"/>
          <w:bCs w:val="false"/>
          <w:i w:val="false"/>
          <w:iCs w:val="false"/>
          <w:color w:val="000000"/>
          <w:sz w:val="20"/>
          <w:szCs w:val="20"/>
        </w:rPr>
        <w:t xml:space="preserve">Malhotra, N. K. (2008). Definición del problema en la investigación de mercados y desarrollo del enfoque. En Investigación de mercados (5.ª ed., pp. 34-64). Pearson Educación.</w:t>
      </w:r>
    </w:p>
    <w:p>
      <w:pPr>
        <w:spacing w:after="80" w:before="0" w:line="260"/>
        <w:ind w:left="340"/>
        <w:jc w:val="both"/>
      </w:pPr>
      <w:r>
        <w:rPr>
          <w:rFonts w:ascii="Arial" w:cs="Arial" w:eastAsia="Arial" w:hAnsi="Arial"/>
          <w:b w:val="false"/>
          <w:bCs w:val="false"/>
          <w:i w:val="false"/>
          <w:iCs w:val="false"/>
          <w:color w:val="000000"/>
          <w:sz w:val="20"/>
          <w:szCs w:val="20"/>
        </w:rPr>
        <w:t xml:space="preserve">Malhotra, N. K. (2008). Medición y escalamiento: aspectos básicos y escalamiento comparativo. En Investigación de mercados (5.ª ed., pp. 250-269). Pearson Educación.</w:t>
      </w:r>
    </w:p>
    <w:p>
      <w:pPr>
        <w:spacing w:after="80" w:before="0" w:line="260"/>
        <w:ind w:left="340"/>
        <w:jc w:val="both"/>
      </w:pPr>
      <w:r>
        <w:rPr>
          <w:rFonts w:ascii="Arial" w:cs="Arial" w:eastAsia="Arial" w:hAnsi="Arial"/>
          <w:b w:val="false"/>
          <w:bCs w:val="false"/>
          <w:i w:val="false"/>
          <w:iCs w:val="false"/>
          <w:color w:val="000000"/>
          <w:sz w:val="20"/>
          <w:szCs w:val="20"/>
        </w:rPr>
        <w:t xml:space="preserve">McDaniel, C., &amp; Gates, R. (2016). Definición del problema, investigación exploratoria y el proceso de la investigación. En Investigación de mercados (10.ª ed., pp. 26-64). Cengage Learning.</w:t>
      </w:r>
    </w:p>
    <w:p>
      <w:pPr>
        <w:spacing w:after="80" w:before="0" w:line="260"/>
        <w:ind w:left="340"/>
        <w:jc w:val="both"/>
      </w:pPr>
      <w:r>
        <w:rPr>
          <w:rFonts w:ascii="Arial" w:cs="Arial" w:eastAsia="Arial" w:hAnsi="Arial"/>
          <w:b w:val="false"/>
          <w:bCs w:val="false"/>
          <w:i w:val="false"/>
          <w:iCs w:val="false"/>
          <w:color w:val="000000"/>
          <w:sz w:val="20"/>
          <w:szCs w:val="20"/>
        </w:rPr>
        <w:t xml:space="preserve">McDaniel, C., &amp; Gates, R. (2016). El concepto de medición y el diseño de cuestionarios. En Investigación de mercados (10.ª ed., pp. 216-239). Cengage Learning.</w:t>
      </w:r>
    </w:p>
    <w:p>
      <w:pPr>
        <w:spacing w:after="80" w:before="0" w:line="260"/>
        <w:ind w:left="340"/>
        <w:jc w:val="both"/>
      </w:pPr>
      <w:r>
        <w:rPr>
          <w:rFonts w:ascii="Arial" w:cs="Arial" w:eastAsia="Arial" w:hAnsi="Arial"/>
          <w:b w:val="false"/>
          <w:bCs w:val="false"/>
          <w:i w:val="false"/>
          <w:iCs w:val="false"/>
          <w:color w:val="000000"/>
          <w:sz w:val="20"/>
          <w:szCs w:val="20"/>
        </w:rPr>
        <w:t xml:space="preserve">Mita Arancibia, E. G. (2012). Formulación del problema de investigación de mercados. En Investigación de mercados (pp. 34-60). Sucre.</w:t>
      </w:r>
    </w:p>
    <w:p>
      <w:pPr>
        <w:spacing w:after="80" w:before="0" w:line="260"/>
        <w:ind w:left="340"/>
        <w:jc w:val="both"/>
      </w:pPr>
      <w:r>
        <w:rPr>
          <w:rFonts w:ascii="Arial" w:cs="Arial" w:eastAsia="Arial" w:hAnsi="Arial"/>
          <w:b w:val="false"/>
          <w:bCs w:val="false"/>
          <w:i w:val="false"/>
          <w:iCs w:val="false"/>
          <w:color w:val="000000"/>
          <w:sz w:val="20"/>
          <w:szCs w:val="20"/>
        </w:rPr>
        <w:t xml:space="preserve">Mita Arancibia, E. G. (2012). Medición y escalas de medición. En Investigación de mercados (pp. 141-155). Sucre.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808080"/>
        <w:sz w:val="16"/>
        <w:szCs w:val="16"/>
      </w:rPr>
      <w:t xml:space="preserve">Guía del docente · Sesión 5 · Investigación Cuantitativa · 2026-II · página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2026-09-01T11:41:11.195Z</dcterms:created>
  <dcterms:modified xsi:type="dcterms:W3CDTF">2026-09-01T11:41:11.208Z</dcterms:modified>
</cp:coreProperties>
</file>

<file path=docProps/custom.xml><?xml version="1.0" encoding="utf-8"?>
<Properties xmlns="http://schemas.openxmlformats.org/officeDocument/2006/custom-properties" xmlns:vt="http://schemas.openxmlformats.org/officeDocument/2006/docPropsVTypes"/>
</file>